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E4" w:rsidRDefault="00AF50E4" w:rsidP="00AF50E4">
      <w:pPr>
        <w:pStyle w:val="Title"/>
      </w:pPr>
      <w:r>
        <w:t>Minutes of AHPCC AG</w:t>
      </w:r>
      <w:r>
        <w:t xml:space="preserve">M, </w:t>
      </w:r>
      <w:r>
        <w:t>Tuesday 16th May 2017 Swanwick</w:t>
      </w:r>
    </w:p>
    <w:p w:rsidR="00AF50E4" w:rsidRDefault="00AF50E4" w:rsidP="00AF50E4">
      <w:pPr>
        <w:pStyle w:val="NormalSpace"/>
      </w:pPr>
      <w:r>
        <w:t>Meeting opened 5.30pm</w:t>
      </w:r>
    </w:p>
    <w:p w:rsidR="00AF50E4" w:rsidRPr="004A3D0E" w:rsidRDefault="00B64687" w:rsidP="00AF50E4">
      <w:pPr>
        <w:pStyle w:val="NormalSpace"/>
      </w:pPr>
      <w:r>
        <w:t xml:space="preserve">Karen </w:t>
      </w:r>
      <w:r w:rsidR="00AF50E4" w:rsidRPr="004A3D0E">
        <w:t>opened the meeting to explain to all and especial</w:t>
      </w:r>
      <w:r w:rsidR="00AF50E4">
        <w:t>l</w:t>
      </w:r>
      <w:r w:rsidR="00AF50E4" w:rsidRPr="004A3D0E">
        <w:t xml:space="preserve">y to new </w:t>
      </w:r>
      <w:r>
        <w:t xml:space="preserve">conference </w:t>
      </w:r>
      <w:proofErr w:type="gramStart"/>
      <w:r w:rsidR="00AF50E4" w:rsidRPr="004A3D0E">
        <w:t>attende</w:t>
      </w:r>
      <w:r>
        <w:t>rs</w:t>
      </w:r>
      <w:r w:rsidR="00AF50E4" w:rsidRPr="004A3D0E">
        <w:t>, that</w:t>
      </w:r>
      <w:proofErr w:type="gramEnd"/>
      <w:r w:rsidR="00AF50E4" w:rsidRPr="004A3D0E">
        <w:t xml:space="preserve"> we hold the AGM during the conference as a continuing means of hearing what is going on.</w:t>
      </w:r>
    </w:p>
    <w:p w:rsidR="00AF50E4" w:rsidRPr="00CF3386" w:rsidRDefault="00AF50E4" w:rsidP="00AF50E4">
      <w:pPr>
        <w:pStyle w:val="Heading6"/>
      </w:pPr>
      <w:r>
        <w:t>69 members present</w:t>
      </w:r>
    </w:p>
    <w:p w:rsidR="00AF50E4" w:rsidRDefault="00AF50E4" w:rsidP="00AF50E4">
      <w:pPr>
        <w:pStyle w:val="Heading6"/>
      </w:pPr>
      <w:r>
        <w:t>Apologies for Absence</w:t>
      </w:r>
    </w:p>
    <w:p w:rsidR="00AF50E4" w:rsidRDefault="00AF50E4" w:rsidP="00AF50E4">
      <w:pPr>
        <w:pStyle w:val="NormalSpace"/>
      </w:pPr>
      <w:r>
        <w:t xml:space="preserve">John </w:t>
      </w:r>
      <w:proofErr w:type="spellStart"/>
      <w:r>
        <w:t>Austerberry</w:t>
      </w:r>
      <w:proofErr w:type="spellEnd"/>
      <w:r>
        <w:t xml:space="preserve">, Lindsey Hudd, Diane </w:t>
      </w:r>
      <w:proofErr w:type="spellStart"/>
      <w:r>
        <w:t>Lofthouse</w:t>
      </w:r>
      <w:proofErr w:type="spellEnd"/>
      <w:r>
        <w:t xml:space="preserve">, John Hall, Gillian </w:t>
      </w:r>
      <w:proofErr w:type="spellStart"/>
      <w:r>
        <w:t>Garmen</w:t>
      </w:r>
      <w:proofErr w:type="spellEnd"/>
    </w:p>
    <w:p w:rsidR="00AF50E4" w:rsidRDefault="00AF50E4" w:rsidP="00AF50E4">
      <w:pPr>
        <w:pStyle w:val="Heading4"/>
      </w:pPr>
      <w:r>
        <w:t>Minutes of AGM 2016</w:t>
      </w:r>
    </w:p>
    <w:p w:rsidR="00AF50E4" w:rsidRDefault="00AF50E4" w:rsidP="00AF50E4">
      <w:pPr>
        <w:pStyle w:val="NormalSpace"/>
      </w:pPr>
      <w:r>
        <w:t xml:space="preserve">These were approved and signed by Karen Murphy as a true record, proposed by Sally </w:t>
      </w:r>
      <w:r>
        <w:t>B</w:t>
      </w:r>
      <w:r>
        <w:t>edborough and seconded by Mike Reader</w:t>
      </w:r>
    </w:p>
    <w:p w:rsidR="00AF50E4" w:rsidRDefault="00AF50E4" w:rsidP="00AF50E4">
      <w:pPr>
        <w:pStyle w:val="Heading6"/>
      </w:pPr>
      <w:r>
        <w:t>Matters Arising</w:t>
      </w:r>
    </w:p>
    <w:p w:rsidR="00AF50E4" w:rsidRPr="00CF3386" w:rsidRDefault="00AF50E4" w:rsidP="00B64687">
      <w:pPr>
        <w:pStyle w:val="NormalText"/>
      </w:pPr>
      <w:r>
        <w:t xml:space="preserve">The annual research grant is still available; the scoping project, as Jacki Thomas requested, needs to have a narrower focus and it is suggested that the question </w:t>
      </w:r>
      <w:r>
        <w:rPr>
          <w:b/>
        </w:rPr>
        <w:t>“Chaplaincy is worth having because</w:t>
      </w:r>
      <w:r>
        <w:rPr>
          <w:b/>
        </w:rPr>
        <w:t>…</w:t>
      </w:r>
      <w:r>
        <w:rPr>
          <w:b/>
        </w:rPr>
        <w:t>”</w:t>
      </w:r>
      <w:r>
        <w:rPr>
          <w:b/>
        </w:rPr>
        <w:t xml:space="preserve">  </w:t>
      </w:r>
      <w:r>
        <w:t>Be addressed</w:t>
      </w:r>
      <w:r w:rsidR="00B64687">
        <w:t xml:space="preserve">.  </w:t>
      </w:r>
      <w:r>
        <w:t>All Agreed.</w:t>
      </w:r>
    </w:p>
    <w:p w:rsidR="00AF50E4" w:rsidRDefault="00AF50E4" w:rsidP="00AF50E4">
      <w:pPr>
        <w:pStyle w:val="NormalSpace"/>
      </w:pPr>
      <w:r>
        <w:t>Other matters arising will be addressed as they occur on the agenda</w:t>
      </w:r>
    </w:p>
    <w:p w:rsidR="00AF50E4" w:rsidRDefault="00AF50E4" w:rsidP="00AF50E4">
      <w:pPr>
        <w:pStyle w:val="Title"/>
      </w:pPr>
    </w:p>
    <w:p w:rsidR="00AF50E4" w:rsidRDefault="00AF50E4" w:rsidP="00AF50E4">
      <w:pPr>
        <w:pStyle w:val="Title"/>
      </w:pPr>
    </w:p>
    <w:p w:rsidR="00AF50E4" w:rsidRDefault="00AF50E4" w:rsidP="00AF50E4">
      <w:pPr>
        <w:pStyle w:val="Title"/>
      </w:pPr>
      <w:r>
        <w:t>President’s Report:</w:t>
      </w:r>
    </w:p>
    <w:p w:rsidR="00AF50E4" w:rsidRDefault="00AF50E4" w:rsidP="00AF50E4">
      <w:pPr>
        <w:pStyle w:val="NormalText"/>
      </w:pPr>
      <w:r>
        <w:t>Welcome to this year’s AHPCC Conference</w:t>
      </w:r>
      <w:r w:rsidR="00B64687">
        <w:t xml:space="preserve">.  </w:t>
      </w:r>
      <w:r>
        <w:t>This is our annual gathering that hopefully offers you a time to step away from the busyness if our daily work and find sustenance in being together</w:t>
      </w:r>
      <w:r w:rsidR="00B64687">
        <w:t xml:space="preserve">.  </w:t>
      </w:r>
      <w:r>
        <w:t>The executive group have been preparing for this conference over the past months and hope that you will find it stimulating, informative and above all, friendly.</w:t>
      </w:r>
    </w:p>
    <w:p w:rsidR="00AF50E4" w:rsidRDefault="00AF50E4" w:rsidP="00AF50E4">
      <w:pPr>
        <w:pStyle w:val="NormalText"/>
      </w:pPr>
      <w:r>
        <w:t>In your delegate pack you should find all the reports to be received at the AGM</w:t>
      </w:r>
      <w:r w:rsidR="00B64687">
        <w:t xml:space="preserve">.  </w:t>
      </w:r>
      <w:r>
        <w:t>Please take time to read them through and be ready to contribute to the discussion on issues that are relevant to our work in chaplaincy.</w:t>
      </w:r>
    </w:p>
    <w:p w:rsidR="00AF50E4" w:rsidRDefault="00AF50E4" w:rsidP="00B64687">
      <w:pPr>
        <w:pStyle w:val="Heading4"/>
      </w:pPr>
      <w:r>
        <w:t>Executive News</w:t>
      </w:r>
    </w:p>
    <w:p w:rsidR="00AF50E4" w:rsidRDefault="00AF50E4" w:rsidP="00AF50E4">
      <w:r>
        <w:t xml:space="preserve">The Executive has met </w:t>
      </w:r>
      <w:r>
        <w:t>three</w:t>
      </w:r>
      <w:r>
        <w:t xml:space="preserve"> times in the past year, with two meetings in London and an overnight stay in Manchester</w:t>
      </w:r>
      <w:r w:rsidR="00B64687">
        <w:t xml:space="preserve">.  </w:t>
      </w:r>
      <w:r>
        <w:t>We will also be meeting prior to the conference starting to make final preparations</w:t>
      </w:r>
      <w:r w:rsidR="00B64687">
        <w:t xml:space="preserve">.  </w:t>
      </w:r>
      <w:r>
        <w:t>We were pleased to welcome new members onto the committee this year and all colleagues give generously of their time as we work together</w:t>
      </w:r>
      <w:r w:rsidR="00B64687">
        <w:t xml:space="preserve">.  </w:t>
      </w:r>
      <w:r>
        <w:t>This year there will vacancies again on the executive so if you interested in joining us, please have a word before or during the conference for more information about the level of work and commitment involved</w:t>
      </w:r>
      <w:r w:rsidR="00B64687">
        <w:t xml:space="preserve">.  </w:t>
      </w:r>
      <w:r>
        <w:t>It is a great group to be part of! Mike Rattenbury has retired from chaplaincy and will not be at the conference this year</w:t>
      </w:r>
      <w:r w:rsidR="00B64687">
        <w:t xml:space="preserve">.  </w:t>
      </w:r>
      <w:r>
        <w:t>Mike has played a significant role in the development of AHPCC over the years, especially with his work on the website</w:t>
      </w:r>
      <w:r w:rsidR="00B64687">
        <w:t xml:space="preserve">.  </w:t>
      </w:r>
      <w:r>
        <w:t>We are grateful for all his hard work and energy to keep the technology moving forward.</w:t>
      </w:r>
    </w:p>
    <w:p w:rsidR="00AF50E4" w:rsidRDefault="00AF50E4" w:rsidP="00AF50E4">
      <w:pPr>
        <w:pStyle w:val="Heading4"/>
      </w:pPr>
      <w:r>
        <w:t>Chaplaincy Developments</w:t>
      </w:r>
    </w:p>
    <w:p w:rsidR="00AF50E4" w:rsidRDefault="00AF50E4" w:rsidP="00AF50E4">
      <w:pPr>
        <w:pStyle w:val="Heading5"/>
      </w:pPr>
      <w:r>
        <w:t>Chaplaincy Leadership Forum (CLF)</w:t>
      </w:r>
    </w:p>
    <w:p w:rsidR="00B64687" w:rsidRDefault="00AF50E4" w:rsidP="00AF50E4">
      <w:pPr>
        <w:pStyle w:val="NormalText"/>
      </w:pPr>
      <w:r>
        <w:t>The CLF has met several times this year and I have attended to represent AHPCC, as well as sharing monthly conference calls</w:t>
      </w:r>
      <w:r>
        <w:t>,</w:t>
      </w:r>
      <w:r>
        <w:t xml:space="preserve"> regular updates from CLF are on the website and I hope you have felt informed about developments</w:t>
      </w:r>
      <w:r w:rsidR="00B64687">
        <w:t>.</w:t>
      </w:r>
    </w:p>
    <w:p w:rsidR="00AF50E4" w:rsidRDefault="00AF50E4" w:rsidP="00AF50E4">
      <w:pPr>
        <w:pStyle w:val="NormalText"/>
      </w:pPr>
      <w:r>
        <w:lastRenderedPageBreak/>
        <w:t>This group was formed to gather together the respective Chairs of chaplaincy healthcare groups alongside representatives from NHS England, with the aim of taking forward chaplaincy planning with NHS support</w:t>
      </w:r>
      <w:r w:rsidR="00B64687">
        <w:t xml:space="preserve">.  </w:t>
      </w:r>
      <w:r>
        <w:t>NHS England ha</w:t>
      </w:r>
      <w:r w:rsidR="00B64687">
        <w:t>s</w:t>
      </w:r>
      <w:r>
        <w:t xml:space="preserve"> now committed </w:t>
      </w:r>
      <w:proofErr w:type="gramStart"/>
      <w:r>
        <w:t>themselves</w:t>
      </w:r>
      <w:proofErr w:type="gramEnd"/>
      <w:r>
        <w:t xml:space="preserve"> to support the Network</w:t>
      </w:r>
      <w:r w:rsidR="00B64687">
        <w:t xml:space="preserve">.  </w:t>
      </w:r>
      <w:r>
        <w:t>Fi</w:t>
      </w:r>
      <w:r>
        <w:t>nancially</w:t>
      </w:r>
      <w:r>
        <w:t>, i</w:t>
      </w:r>
      <w:r>
        <w:t>t has been proposed that CLF and the Network combine to form one group representing healthcare chaplaincy in England which would ensure that groups such as AHPCC are aware of any proposed funding, are party to changes in practice and can contribute to training developments</w:t>
      </w:r>
      <w:r w:rsidR="00B64687">
        <w:t xml:space="preserve">.  </w:t>
      </w:r>
      <w:r>
        <w:t>This information was put on the website following the last meeting in March and I would encourage you to read it for full details of the proposal</w:t>
      </w:r>
      <w:r w:rsidR="00B64687">
        <w:t xml:space="preserve">.  </w:t>
      </w:r>
      <w:r>
        <w:t>A draft Memorandum of Understanding has been created with the suggestion that both bodies retain separate identities but with the intention of one organisation being formed after a six month consultation for that proposed merger.</w:t>
      </w:r>
    </w:p>
    <w:p w:rsidR="00AF50E4" w:rsidRDefault="00AF50E4" w:rsidP="00AF50E4">
      <w:pPr>
        <w:pStyle w:val="NormalText"/>
      </w:pPr>
      <w:r>
        <w:t>Any updates shall be placed on the web-site (Action: Karen and Gary)</w:t>
      </w:r>
    </w:p>
    <w:p w:rsidR="00AF50E4" w:rsidRDefault="00AF50E4" w:rsidP="00AF50E4">
      <w:pPr>
        <w:pStyle w:val="Heading6"/>
      </w:pPr>
      <w:r>
        <w:t>The United Kingdom Board of Healthcare Chaplaincy (UKBHC)</w:t>
      </w:r>
    </w:p>
    <w:p w:rsidR="00AF50E4" w:rsidRDefault="00AF50E4" w:rsidP="00B64687">
      <w:pPr>
        <w:pStyle w:val="NormalText"/>
      </w:pPr>
      <w:r>
        <w:t>An application was submitted to the Professional Standards Authority for Chaplaincy to have professional status last year</w:t>
      </w:r>
      <w:r w:rsidR="00B64687">
        <w:t xml:space="preserve">.  </w:t>
      </w:r>
      <w:r>
        <w:t>The process has been on-going throughout the year and we await confirmation of a positive outcome</w:t>
      </w:r>
      <w:r w:rsidR="00B64687">
        <w:t xml:space="preserve">.  </w:t>
      </w:r>
      <w:r>
        <w:t>Please read the most recent UKBHC newsletter for further updates</w:t>
      </w:r>
      <w:r w:rsidR="00B64687">
        <w:t xml:space="preserve">.  </w:t>
      </w:r>
      <w:r>
        <w:t>The newsletter outlines the rational for this application and the potential outcomes for UKBHC members</w:t>
      </w:r>
      <w:r w:rsidR="00B64687">
        <w:t xml:space="preserve">.  </w:t>
      </w:r>
      <w:r>
        <w:t>AHPCC has supported this application from the outset recognising the value and worth of having professional status for chaplains working in the multi-disciplinary team</w:t>
      </w:r>
      <w:r w:rsidR="00B64687">
        <w:t xml:space="preserve">.  </w:t>
      </w:r>
      <w:r>
        <w:t>It is a voluntary register but members are urged to join to reflect commitment to register professionalism; membership currently is £50 per annum and there is an annual meeting.</w:t>
      </w:r>
    </w:p>
    <w:p w:rsidR="00AF50E4" w:rsidRDefault="00AF50E4" w:rsidP="00AF50E4">
      <w:pPr>
        <w:pStyle w:val="Heading4"/>
      </w:pPr>
      <w:r>
        <w:t>Links with other chaplaincy and external organisations.</w:t>
      </w:r>
    </w:p>
    <w:p w:rsidR="00AF50E4" w:rsidRDefault="00AF50E4" w:rsidP="00B64687">
      <w:pPr>
        <w:pStyle w:val="NormalText"/>
      </w:pPr>
      <w:r>
        <w:t>As an organisation we attempt to offer representation on various groups and committees working with chaplaincy and spiritual care</w:t>
      </w:r>
      <w:r w:rsidR="00B64687">
        <w:t xml:space="preserve">.  </w:t>
      </w:r>
      <w:r>
        <w:t>These include the following:</w:t>
      </w:r>
    </w:p>
    <w:p w:rsidR="00AF50E4" w:rsidRDefault="00AF50E4" w:rsidP="00AF50E4">
      <w:pPr>
        <w:pStyle w:val="Heading6"/>
      </w:pPr>
      <w:r>
        <w:t>European Network of Health care Chaplains (ENHCC)</w:t>
      </w:r>
    </w:p>
    <w:p w:rsidR="00AF50E4" w:rsidRDefault="00AF50E4" w:rsidP="00B64687">
      <w:pPr>
        <w:pStyle w:val="NormalSpace"/>
      </w:pPr>
      <w:r>
        <w:t xml:space="preserve">Karen Murphy and Margery Collins attended the bi-annual conference in </w:t>
      </w:r>
      <w:proofErr w:type="spellStart"/>
      <w:r>
        <w:t>Debrechen</w:t>
      </w:r>
      <w:proofErr w:type="spellEnd"/>
      <w:r>
        <w:t>, Hungary, in June 2016</w:t>
      </w:r>
      <w:r w:rsidR="00B64687">
        <w:t xml:space="preserve">.  </w:t>
      </w:r>
      <w:r>
        <w:t>Details of the conference are available on the website</w:t>
      </w:r>
      <w:r w:rsidR="00B64687">
        <w:t xml:space="preserve">.  </w:t>
      </w:r>
      <w:r>
        <w:t>It was an excellent conference with many European countries represented and bringing a vast variety of chaplaincy experiences to share</w:t>
      </w:r>
      <w:r w:rsidR="00B64687">
        <w:t xml:space="preserve">.  </w:t>
      </w:r>
      <w:r>
        <w:t>The final proposal from the conference was to create a research institute for healthcare chaplaincy in Europe</w:t>
      </w:r>
      <w:r w:rsidR="00B64687">
        <w:t xml:space="preserve">.  </w:t>
      </w:r>
      <w:r>
        <w:t xml:space="preserve">This was envisaged taking some time to be established but if fact, due to the commitment of the executive </w:t>
      </w:r>
      <w:proofErr w:type="gramStart"/>
      <w:r>
        <w:t>group,</w:t>
      </w:r>
      <w:proofErr w:type="gramEnd"/>
      <w:r>
        <w:t xml:space="preserve"> the institute will be launched in Leuven, Belgium in June</w:t>
      </w:r>
      <w:r w:rsidR="00B64687">
        <w:t xml:space="preserve">.  </w:t>
      </w:r>
      <w:r>
        <w:t>Funding has been granted to start various research projects across Europe and the AHPCC executive will be looking at ways in which we can be part of this developing</w:t>
      </w:r>
    </w:p>
    <w:p w:rsidR="00AF50E4" w:rsidRDefault="00AF50E4" w:rsidP="00B64687">
      <w:pPr>
        <w:pStyle w:val="NormalSpace"/>
      </w:pPr>
      <w:r>
        <w:t>In conclusion, AHPCC continues to support and promote the wo</w:t>
      </w:r>
      <w:r w:rsidR="00B64687">
        <w:t xml:space="preserve">rk and place of chaplains and </w:t>
      </w:r>
      <w:r>
        <w:t>spiritual care in palliative care units</w:t>
      </w:r>
      <w:r w:rsidR="00B64687">
        <w:t xml:space="preserve">.  </w:t>
      </w:r>
      <w:r>
        <w:t>Our place ‘at the table’, especially in NHS hospitals is currently under considerable pressure and we offer full support to our colleagues who are experiencing uncertainty and stress</w:t>
      </w:r>
      <w:r w:rsidR="00B64687">
        <w:t xml:space="preserve">.  </w:t>
      </w:r>
      <w:r>
        <w:t>I am confident, however,</w:t>
      </w:r>
      <w:r>
        <w:t xml:space="preserve"> </w:t>
      </w:r>
      <w:r>
        <w:t>that with our increasingly full credentials of professional status, code of conduct and standards, we can maintain a develop chaplaincy services that are integral to patient care</w:t>
      </w:r>
      <w:r w:rsidR="00B64687">
        <w:t xml:space="preserve">.  </w:t>
      </w:r>
      <w:r>
        <w:t>Keep up the good work!</w:t>
      </w:r>
    </w:p>
    <w:p w:rsidR="00B64687" w:rsidRDefault="00B64687" w:rsidP="00B64687">
      <w:pPr>
        <w:pStyle w:val="NormalSpace"/>
      </w:pPr>
      <w:r>
        <w:t>Karen thanked the AGM for the support given to her over the last year.</w:t>
      </w:r>
    </w:p>
    <w:p w:rsidR="00AF50E4" w:rsidRDefault="00AF50E4" w:rsidP="00AF50E4">
      <w:pPr>
        <w:pStyle w:val="Heading5"/>
      </w:pPr>
      <w:r>
        <w:t>Karen Murphy, AHPCC President</w:t>
      </w:r>
    </w:p>
    <w:p w:rsidR="00B64687" w:rsidRDefault="00B64687" w:rsidP="00B64687">
      <w:pPr>
        <w:pStyle w:val="Title"/>
        <w:rPr>
          <w:b/>
        </w:rPr>
      </w:pPr>
    </w:p>
    <w:p w:rsidR="00B64687" w:rsidRDefault="00B64687" w:rsidP="00B64687">
      <w:pPr>
        <w:pStyle w:val="Title"/>
        <w:rPr>
          <w:b/>
        </w:rPr>
      </w:pPr>
    </w:p>
    <w:p w:rsidR="00AF50E4" w:rsidRDefault="00AF50E4" w:rsidP="00B64687">
      <w:pPr>
        <w:pStyle w:val="Title"/>
        <w:rPr>
          <w:b/>
        </w:rPr>
      </w:pPr>
      <w:r>
        <w:rPr>
          <w:b/>
        </w:rPr>
        <w:lastRenderedPageBreak/>
        <w:t xml:space="preserve">Treasurer’s Report </w:t>
      </w:r>
      <w:r>
        <w:t>(given by Margery Collin)</w:t>
      </w:r>
      <w:r>
        <w:rPr>
          <w:b/>
        </w:rPr>
        <w:t>:</w:t>
      </w:r>
    </w:p>
    <w:p w:rsidR="00AF50E4" w:rsidRDefault="00AF50E4" w:rsidP="00AF50E4">
      <w:pPr>
        <w:rPr>
          <w:sz w:val="24"/>
          <w:szCs w:val="24"/>
        </w:rPr>
      </w:pPr>
      <w:r w:rsidRPr="00B30DC5">
        <w:rPr>
          <w:sz w:val="24"/>
          <w:szCs w:val="24"/>
        </w:rPr>
        <w:t>The audited accoun</w:t>
      </w:r>
      <w:r>
        <w:rPr>
          <w:sz w:val="24"/>
          <w:szCs w:val="24"/>
        </w:rPr>
        <w:t>t</w:t>
      </w:r>
      <w:r w:rsidRPr="00B30DC5">
        <w:rPr>
          <w:sz w:val="24"/>
          <w:szCs w:val="24"/>
        </w:rPr>
        <w:t>s were presented</w:t>
      </w:r>
      <w:r>
        <w:rPr>
          <w:sz w:val="24"/>
          <w:szCs w:val="24"/>
        </w:rPr>
        <w:t xml:space="preserve"> to the AGM (see web-site): </w:t>
      </w:r>
    </w:p>
    <w:p w:rsidR="00AF50E4" w:rsidRDefault="00AF50E4" w:rsidP="00AF50E4">
      <w:pPr>
        <w:jc w:val="center"/>
        <w:rPr>
          <w:rFonts w:ascii="Times New Roman" w:hAnsi="Times New Roman"/>
          <w:b/>
          <w:sz w:val="28"/>
          <w:szCs w:val="28"/>
        </w:rPr>
      </w:pPr>
    </w:p>
    <w:p w:rsidR="00AF50E4" w:rsidRDefault="00AF50E4" w:rsidP="00AF50E4">
      <w:pPr>
        <w:jc w:val="center"/>
        <w:rPr>
          <w:rFonts w:ascii="Times New Roman" w:hAnsi="Times New Roman"/>
          <w:b/>
          <w:sz w:val="28"/>
          <w:szCs w:val="28"/>
        </w:rPr>
      </w:pPr>
    </w:p>
    <w:p w:rsidR="00B64687" w:rsidRDefault="00AF50E4" w:rsidP="00AF50E4">
      <w:pPr>
        <w:jc w:val="center"/>
        <w:rPr>
          <w:rFonts w:cs="Arial"/>
          <w:b/>
          <w:sz w:val="24"/>
          <w:szCs w:val="24"/>
          <w:u w:val="single"/>
        </w:rPr>
      </w:pPr>
      <w:r w:rsidRPr="001E39E7">
        <w:rPr>
          <w:rFonts w:cs="Arial"/>
          <w:b/>
          <w:sz w:val="24"/>
          <w:szCs w:val="24"/>
          <w:u w:val="single"/>
        </w:rPr>
        <w:t>RECEIPTS AND PAYMENTS ACCOUNT FOR THE YEAR ENDED</w:t>
      </w:r>
    </w:p>
    <w:p w:rsidR="00AF50E4" w:rsidRPr="001E39E7" w:rsidRDefault="00B64687" w:rsidP="00AF50E4">
      <w:pPr>
        <w:jc w:val="center"/>
        <w:rPr>
          <w:rFonts w:cs="Arial"/>
          <w:b/>
          <w:sz w:val="24"/>
          <w:szCs w:val="24"/>
          <w:u w:val="single"/>
        </w:rPr>
      </w:pPr>
      <w:r>
        <w:rPr>
          <w:rFonts w:cs="Arial"/>
          <w:b/>
          <w:sz w:val="24"/>
          <w:szCs w:val="24"/>
          <w:u w:val="single"/>
        </w:rPr>
        <w:t>31 DECEMBER 2016</w:t>
      </w:r>
      <w:r w:rsidR="00AF50E4" w:rsidRPr="001E39E7">
        <w:rPr>
          <w:rFonts w:cs="Arial"/>
          <w:b/>
          <w:sz w:val="24"/>
          <w:szCs w:val="24"/>
          <w:u w:val="single"/>
        </w:rPr>
        <w:t xml:space="preserve"> </w:t>
      </w:r>
    </w:p>
    <w:tbl>
      <w:tblPr>
        <w:tblW w:w="7662" w:type="dxa"/>
        <w:jc w:val="center"/>
        <w:tblLook w:val="04A0" w:firstRow="1" w:lastRow="0" w:firstColumn="1" w:lastColumn="0" w:noHBand="0" w:noVBand="1"/>
      </w:tblPr>
      <w:tblGrid>
        <w:gridCol w:w="4760"/>
        <w:gridCol w:w="1418"/>
        <w:gridCol w:w="1484"/>
      </w:tblGrid>
      <w:tr w:rsidR="00AF50E4" w:rsidRPr="001E39E7" w:rsidTr="00B64687">
        <w:trPr>
          <w:trHeight w:val="315"/>
          <w:jc w:val="center"/>
        </w:trPr>
        <w:tc>
          <w:tcPr>
            <w:tcW w:w="4760" w:type="dxa"/>
            <w:tcBorders>
              <w:top w:val="nil"/>
              <w:left w:val="nil"/>
              <w:bottom w:val="single" w:sz="4" w:space="0" w:color="auto"/>
              <w:right w:val="nil"/>
            </w:tcBorders>
            <w:noWrap/>
            <w:vAlign w:val="bottom"/>
            <w:hideMark/>
          </w:tcPr>
          <w:p w:rsidR="00AF50E4" w:rsidRPr="00B64687" w:rsidRDefault="00AF50E4" w:rsidP="00B64687">
            <w:pPr>
              <w:rPr>
                <w:rFonts w:cs="Arial"/>
                <w:b/>
                <w:bCs/>
                <w:color w:val="000000"/>
                <w:szCs w:val="24"/>
                <w:u w:val="single"/>
                <w:lang w:eastAsia="en-GB"/>
              </w:rPr>
            </w:pPr>
            <w:r w:rsidRPr="00B64687">
              <w:rPr>
                <w:rFonts w:cs="Arial"/>
                <w:b/>
                <w:bCs/>
                <w:color w:val="000000"/>
                <w:szCs w:val="24"/>
                <w:u w:val="single"/>
                <w:lang w:eastAsia="en-GB"/>
              </w:rPr>
              <w:t>Receipts</w:t>
            </w:r>
          </w:p>
        </w:tc>
        <w:tc>
          <w:tcPr>
            <w:tcW w:w="1418" w:type="dxa"/>
            <w:tcBorders>
              <w:top w:val="nil"/>
              <w:left w:val="nil"/>
              <w:bottom w:val="single" w:sz="4" w:space="0" w:color="auto"/>
              <w:right w:val="nil"/>
            </w:tcBorders>
            <w:noWrap/>
            <w:vAlign w:val="bottom"/>
            <w:hideMark/>
          </w:tcPr>
          <w:p w:rsidR="00AF50E4" w:rsidRPr="00B64687" w:rsidRDefault="00AF50E4" w:rsidP="00B64687">
            <w:pPr>
              <w:jc w:val="right"/>
              <w:rPr>
                <w:rFonts w:cs="Arial"/>
                <w:b/>
                <w:bCs/>
                <w:color w:val="000000"/>
                <w:szCs w:val="24"/>
                <w:u w:val="single"/>
              </w:rPr>
            </w:pPr>
            <w:r w:rsidRPr="00B64687">
              <w:rPr>
                <w:rFonts w:cs="Arial"/>
                <w:b/>
                <w:bCs/>
                <w:color w:val="000000"/>
                <w:szCs w:val="24"/>
                <w:u w:val="single"/>
              </w:rPr>
              <w:t>2016</w:t>
            </w:r>
          </w:p>
        </w:tc>
        <w:tc>
          <w:tcPr>
            <w:tcW w:w="1484" w:type="dxa"/>
            <w:tcBorders>
              <w:top w:val="nil"/>
              <w:left w:val="nil"/>
              <w:bottom w:val="single" w:sz="4" w:space="0" w:color="auto"/>
              <w:right w:val="nil"/>
            </w:tcBorders>
            <w:vAlign w:val="bottom"/>
          </w:tcPr>
          <w:p w:rsidR="00AF50E4" w:rsidRPr="00B64687" w:rsidRDefault="00AF50E4" w:rsidP="00B64687">
            <w:pPr>
              <w:jc w:val="right"/>
              <w:rPr>
                <w:rFonts w:cs="Arial"/>
                <w:b/>
                <w:bCs/>
                <w:color w:val="000000"/>
                <w:szCs w:val="24"/>
                <w:u w:val="single"/>
              </w:rPr>
            </w:pPr>
            <w:r w:rsidRPr="00B64687">
              <w:rPr>
                <w:rFonts w:cs="Arial"/>
                <w:b/>
                <w:bCs/>
                <w:color w:val="000000"/>
                <w:szCs w:val="24"/>
                <w:u w:val="single"/>
              </w:rPr>
              <w:t>2015</w:t>
            </w:r>
          </w:p>
        </w:tc>
      </w:tr>
      <w:tr w:rsidR="00AF50E4" w:rsidRPr="001E39E7" w:rsidTr="00B64687">
        <w:trPr>
          <w:trHeight w:val="300"/>
          <w:jc w:val="center"/>
        </w:trPr>
        <w:tc>
          <w:tcPr>
            <w:tcW w:w="4760" w:type="dxa"/>
            <w:tcBorders>
              <w:top w:val="single" w:sz="4" w:space="0" w:color="auto"/>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Membership Subscriptions</w:t>
            </w:r>
          </w:p>
        </w:tc>
        <w:tc>
          <w:tcPr>
            <w:tcW w:w="1418" w:type="dxa"/>
            <w:tcBorders>
              <w:top w:val="single" w:sz="4" w:space="0" w:color="auto"/>
              <w:left w:val="nil"/>
              <w:bottom w:val="single" w:sz="4" w:space="0" w:color="auto"/>
              <w:right w:val="single" w:sz="4" w:space="0" w:color="auto"/>
            </w:tcBorders>
            <w:noWrap/>
            <w:vAlign w:val="bottom"/>
            <w:hideMark/>
          </w:tcPr>
          <w:p w:rsidR="00AF50E4" w:rsidRPr="00B64687" w:rsidRDefault="00AF50E4" w:rsidP="00B64687">
            <w:pPr>
              <w:jc w:val="right"/>
              <w:rPr>
                <w:rFonts w:cs="Arial"/>
                <w:color w:val="000000"/>
                <w:szCs w:val="24"/>
              </w:rPr>
            </w:pPr>
            <w:r w:rsidRPr="00B64687">
              <w:rPr>
                <w:rFonts w:cs="Arial"/>
                <w:color w:val="000000"/>
                <w:szCs w:val="24"/>
              </w:rPr>
              <w:t>£5,595</w:t>
            </w:r>
          </w:p>
        </w:tc>
        <w:tc>
          <w:tcPr>
            <w:tcW w:w="1484" w:type="dxa"/>
            <w:tcBorders>
              <w:top w:val="single" w:sz="4" w:space="0" w:color="auto"/>
              <w:left w:val="nil"/>
              <w:bottom w:val="single" w:sz="4" w:space="0" w:color="auto"/>
              <w:right w:val="single" w:sz="4" w:space="0" w:color="auto"/>
            </w:tcBorders>
            <w:vAlign w:val="bottom"/>
          </w:tcPr>
          <w:p w:rsidR="00AF50E4" w:rsidRPr="00B64687" w:rsidRDefault="00AF50E4" w:rsidP="00B64687">
            <w:pPr>
              <w:jc w:val="right"/>
              <w:rPr>
                <w:rFonts w:cs="Arial"/>
                <w:color w:val="000000"/>
                <w:szCs w:val="24"/>
              </w:rPr>
            </w:pPr>
            <w:r w:rsidRPr="00B64687">
              <w:rPr>
                <w:rFonts w:cs="Arial"/>
                <w:color w:val="000000"/>
                <w:szCs w:val="24"/>
              </w:rPr>
              <w:t xml:space="preserve">£5,485.00     </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Conference Fees</w:t>
            </w:r>
          </w:p>
        </w:tc>
        <w:tc>
          <w:tcPr>
            <w:tcW w:w="1418" w:type="dxa"/>
            <w:tcBorders>
              <w:top w:val="nil"/>
              <w:left w:val="nil"/>
              <w:bottom w:val="single" w:sz="4" w:space="0" w:color="auto"/>
              <w:right w:val="single" w:sz="4" w:space="0" w:color="auto"/>
            </w:tcBorders>
            <w:noWrap/>
            <w:vAlign w:val="bottom"/>
            <w:hideMark/>
          </w:tcPr>
          <w:p w:rsidR="00AF50E4" w:rsidRPr="00B64687" w:rsidRDefault="00AF50E4" w:rsidP="00B64687">
            <w:pPr>
              <w:jc w:val="right"/>
              <w:rPr>
                <w:rFonts w:cs="Arial"/>
                <w:color w:val="000000"/>
                <w:szCs w:val="24"/>
              </w:rPr>
            </w:pPr>
            <w:r w:rsidRPr="00B64687">
              <w:rPr>
                <w:rFonts w:cs="Arial"/>
                <w:color w:val="000000"/>
                <w:szCs w:val="24"/>
              </w:rPr>
              <w:t>£14,195.00</w:t>
            </w:r>
          </w:p>
        </w:tc>
        <w:tc>
          <w:tcPr>
            <w:tcW w:w="1484" w:type="dxa"/>
            <w:tcBorders>
              <w:top w:val="nil"/>
              <w:left w:val="nil"/>
              <w:bottom w:val="single" w:sz="4" w:space="0" w:color="auto"/>
              <w:right w:val="single" w:sz="4" w:space="0" w:color="auto"/>
            </w:tcBorders>
            <w:vAlign w:val="bottom"/>
          </w:tcPr>
          <w:p w:rsidR="00AF50E4" w:rsidRPr="00B64687" w:rsidRDefault="00AF50E4" w:rsidP="00B64687">
            <w:pPr>
              <w:jc w:val="right"/>
              <w:rPr>
                <w:rFonts w:cs="Arial"/>
                <w:color w:val="000000"/>
                <w:szCs w:val="24"/>
              </w:rPr>
            </w:pPr>
            <w:r w:rsidRPr="00B64687">
              <w:rPr>
                <w:rFonts w:cs="Arial"/>
                <w:color w:val="000000"/>
                <w:szCs w:val="24"/>
              </w:rPr>
              <w:t>£15,440.00</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Grants</w:t>
            </w:r>
          </w:p>
        </w:tc>
        <w:tc>
          <w:tcPr>
            <w:tcW w:w="1418" w:type="dxa"/>
            <w:tcBorders>
              <w:top w:val="nil"/>
              <w:left w:val="nil"/>
              <w:bottom w:val="single" w:sz="4" w:space="0" w:color="auto"/>
              <w:right w:val="single" w:sz="4" w:space="0" w:color="auto"/>
            </w:tcBorders>
            <w:noWrap/>
            <w:vAlign w:val="bottom"/>
            <w:hideMark/>
          </w:tcPr>
          <w:p w:rsidR="00AF50E4" w:rsidRPr="00B64687" w:rsidRDefault="00AF50E4" w:rsidP="00B64687">
            <w:pPr>
              <w:jc w:val="right"/>
              <w:rPr>
                <w:rFonts w:cs="Arial"/>
                <w:color w:val="000000"/>
                <w:szCs w:val="24"/>
              </w:rPr>
            </w:pPr>
            <w:r w:rsidRPr="00B64687">
              <w:rPr>
                <w:rFonts w:cs="Arial"/>
                <w:color w:val="000000"/>
                <w:szCs w:val="24"/>
              </w:rPr>
              <w:t>£0.00</w:t>
            </w:r>
          </w:p>
        </w:tc>
        <w:tc>
          <w:tcPr>
            <w:tcW w:w="1484" w:type="dxa"/>
            <w:tcBorders>
              <w:top w:val="nil"/>
              <w:left w:val="nil"/>
              <w:bottom w:val="single" w:sz="4" w:space="0" w:color="auto"/>
              <w:right w:val="single" w:sz="4" w:space="0" w:color="auto"/>
            </w:tcBorders>
            <w:vAlign w:val="bottom"/>
          </w:tcPr>
          <w:p w:rsidR="00AF50E4" w:rsidRPr="00B64687" w:rsidRDefault="00AF50E4" w:rsidP="00B64687">
            <w:pPr>
              <w:jc w:val="right"/>
              <w:rPr>
                <w:rFonts w:cs="Arial"/>
                <w:color w:val="000000"/>
                <w:szCs w:val="24"/>
              </w:rPr>
            </w:pPr>
            <w:r w:rsidRPr="00B64687">
              <w:rPr>
                <w:rFonts w:cs="Arial"/>
                <w:color w:val="000000"/>
                <w:szCs w:val="24"/>
              </w:rPr>
              <w:t>£0.00</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Other</w:t>
            </w:r>
          </w:p>
        </w:tc>
        <w:tc>
          <w:tcPr>
            <w:tcW w:w="1418" w:type="dxa"/>
            <w:tcBorders>
              <w:top w:val="nil"/>
              <w:left w:val="nil"/>
              <w:bottom w:val="single" w:sz="4" w:space="0" w:color="auto"/>
              <w:right w:val="single" w:sz="4" w:space="0" w:color="auto"/>
            </w:tcBorders>
            <w:noWrap/>
            <w:vAlign w:val="bottom"/>
            <w:hideMark/>
          </w:tcPr>
          <w:p w:rsidR="00AF50E4" w:rsidRPr="00B64687" w:rsidRDefault="00AF50E4" w:rsidP="00B64687">
            <w:pPr>
              <w:jc w:val="right"/>
              <w:rPr>
                <w:rFonts w:cs="Arial"/>
                <w:color w:val="000000"/>
                <w:szCs w:val="24"/>
              </w:rPr>
            </w:pPr>
            <w:r w:rsidRPr="00B64687">
              <w:rPr>
                <w:rFonts w:cs="Arial"/>
                <w:color w:val="000000"/>
                <w:szCs w:val="24"/>
              </w:rPr>
              <w:t>£79.53</w:t>
            </w:r>
          </w:p>
        </w:tc>
        <w:tc>
          <w:tcPr>
            <w:tcW w:w="1484" w:type="dxa"/>
            <w:tcBorders>
              <w:top w:val="nil"/>
              <w:left w:val="nil"/>
              <w:bottom w:val="single" w:sz="4" w:space="0" w:color="auto"/>
              <w:right w:val="single" w:sz="4" w:space="0" w:color="auto"/>
            </w:tcBorders>
            <w:vAlign w:val="bottom"/>
          </w:tcPr>
          <w:p w:rsidR="00AF50E4" w:rsidRPr="00B64687" w:rsidRDefault="00AF50E4" w:rsidP="00B64687">
            <w:pPr>
              <w:jc w:val="right"/>
              <w:rPr>
                <w:rFonts w:cs="Arial"/>
                <w:color w:val="000000"/>
                <w:szCs w:val="24"/>
              </w:rPr>
            </w:pPr>
            <w:r w:rsidRPr="00B64687">
              <w:rPr>
                <w:rFonts w:cs="Arial"/>
                <w:color w:val="000000"/>
                <w:szCs w:val="24"/>
              </w:rPr>
              <w:t>£65.46</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Bank Interest</w:t>
            </w:r>
          </w:p>
        </w:tc>
        <w:tc>
          <w:tcPr>
            <w:tcW w:w="1418" w:type="dxa"/>
            <w:tcBorders>
              <w:top w:val="nil"/>
              <w:left w:val="nil"/>
              <w:bottom w:val="single" w:sz="4" w:space="0" w:color="auto"/>
              <w:right w:val="single" w:sz="4" w:space="0" w:color="auto"/>
            </w:tcBorders>
            <w:noWrap/>
            <w:vAlign w:val="bottom"/>
            <w:hideMark/>
          </w:tcPr>
          <w:p w:rsidR="00AF50E4" w:rsidRPr="00B64687" w:rsidRDefault="00AF50E4" w:rsidP="00B64687">
            <w:pPr>
              <w:jc w:val="right"/>
              <w:rPr>
                <w:rFonts w:cs="Arial"/>
                <w:color w:val="000000"/>
                <w:szCs w:val="24"/>
              </w:rPr>
            </w:pPr>
            <w:r w:rsidRPr="00B64687">
              <w:rPr>
                <w:rFonts w:cs="Arial"/>
                <w:color w:val="000000"/>
                <w:szCs w:val="24"/>
              </w:rPr>
              <w:t>£42.13</w:t>
            </w:r>
          </w:p>
        </w:tc>
        <w:tc>
          <w:tcPr>
            <w:tcW w:w="1484" w:type="dxa"/>
            <w:tcBorders>
              <w:top w:val="nil"/>
              <w:left w:val="nil"/>
              <w:bottom w:val="single" w:sz="4" w:space="0" w:color="auto"/>
              <w:right w:val="single" w:sz="4" w:space="0" w:color="auto"/>
            </w:tcBorders>
            <w:vAlign w:val="bottom"/>
          </w:tcPr>
          <w:p w:rsidR="00AF50E4" w:rsidRPr="00B64687" w:rsidRDefault="00AF50E4" w:rsidP="00B64687">
            <w:pPr>
              <w:jc w:val="right"/>
              <w:rPr>
                <w:rFonts w:cs="Arial"/>
                <w:color w:val="000000"/>
                <w:szCs w:val="24"/>
              </w:rPr>
            </w:pPr>
            <w:r w:rsidRPr="00B64687">
              <w:rPr>
                <w:rFonts w:cs="Arial"/>
                <w:color w:val="000000"/>
                <w:szCs w:val="24"/>
              </w:rPr>
              <w:t>£44.59</w:t>
            </w:r>
          </w:p>
        </w:tc>
      </w:tr>
      <w:tr w:rsidR="00AF50E4" w:rsidRPr="001E39E7" w:rsidTr="00B64687">
        <w:trPr>
          <w:trHeight w:val="300"/>
          <w:jc w:val="center"/>
        </w:trPr>
        <w:tc>
          <w:tcPr>
            <w:tcW w:w="4760" w:type="dxa"/>
            <w:tcBorders>
              <w:top w:val="single" w:sz="4" w:space="0" w:color="auto"/>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Total Income</w:t>
            </w:r>
          </w:p>
        </w:tc>
        <w:tc>
          <w:tcPr>
            <w:tcW w:w="1418" w:type="dxa"/>
            <w:tcBorders>
              <w:top w:val="nil"/>
              <w:left w:val="nil"/>
              <w:bottom w:val="single" w:sz="4" w:space="0" w:color="auto"/>
              <w:right w:val="single" w:sz="4" w:space="0" w:color="auto"/>
            </w:tcBorders>
            <w:noWrap/>
            <w:vAlign w:val="bottom"/>
            <w:hideMark/>
          </w:tcPr>
          <w:p w:rsidR="00AF50E4" w:rsidRPr="00B64687" w:rsidRDefault="00AF50E4" w:rsidP="00B64687">
            <w:pPr>
              <w:jc w:val="right"/>
              <w:rPr>
                <w:rFonts w:cs="Arial"/>
                <w:color w:val="000000"/>
                <w:szCs w:val="24"/>
              </w:rPr>
            </w:pPr>
            <w:r w:rsidRPr="00B64687">
              <w:rPr>
                <w:rFonts w:cs="Arial"/>
                <w:color w:val="000000"/>
                <w:szCs w:val="24"/>
              </w:rPr>
              <w:t>£19,911.66</w:t>
            </w:r>
          </w:p>
        </w:tc>
        <w:tc>
          <w:tcPr>
            <w:tcW w:w="1484" w:type="dxa"/>
            <w:tcBorders>
              <w:top w:val="nil"/>
              <w:left w:val="nil"/>
              <w:bottom w:val="single" w:sz="4" w:space="0" w:color="auto"/>
              <w:right w:val="single" w:sz="4" w:space="0" w:color="auto"/>
            </w:tcBorders>
            <w:vAlign w:val="bottom"/>
          </w:tcPr>
          <w:p w:rsidR="00AF50E4" w:rsidRPr="00B64687" w:rsidRDefault="00AF50E4" w:rsidP="00B64687">
            <w:pPr>
              <w:jc w:val="right"/>
              <w:rPr>
                <w:rFonts w:cs="Arial"/>
                <w:color w:val="000000"/>
                <w:szCs w:val="24"/>
              </w:rPr>
            </w:pPr>
            <w:r w:rsidRPr="00B64687">
              <w:rPr>
                <w:rFonts w:cs="Arial"/>
                <w:color w:val="000000"/>
                <w:szCs w:val="24"/>
              </w:rPr>
              <w:t>£21,035.05</w:t>
            </w:r>
          </w:p>
        </w:tc>
      </w:tr>
      <w:tr w:rsidR="00AF50E4" w:rsidRPr="001E39E7" w:rsidTr="00B64687">
        <w:trPr>
          <w:trHeight w:val="315"/>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Bank Balance @ 1st January 2016 (15)</w:t>
            </w:r>
          </w:p>
        </w:tc>
        <w:tc>
          <w:tcPr>
            <w:tcW w:w="1418" w:type="dxa"/>
            <w:tcBorders>
              <w:top w:val="nil"/>
              <w:left w:val="nil"/>
              <w:bottom w:val="double" w:sz="6" w:space="0" w:color="auto"/>
              <w:right w:val="single" w:sz="4" w:space="0" w:color="auto"/>
            </w:tcBorders>
            <w:noWrap/>
            <w:vAlign w:val="bottom"/>
            <w:hideMark/>
          </w:tcPr>
          <w:p w:rsidR="00AF50E4" w:rsidRPr="00B64687" w:rsidRDefault="00AF50E4" w:rsidP="00B64687">
            <w:pPr>
              <w:jc w:val="right"/>
              <w:rPr>
                <w:rFonts w:cs="Arial"/>
                <w:color w:val="000000"/>
                <w:szCs w:val="24"/>
              </w:rPr>
            </w:pPr>
            <w:r w:rsidRPr="00B64687">
              <w:rPr>
                <w:rFonts w:cs="Arial"/>
                <w:color w:val="000000"/>
                <w:szCs w:val="24"/>
              </w:rPr>
              <w:t>£30,678.81</w:t>
            </w:r>
          </w:p>
        </w:tc>
        <w:tc>
          <w:tcPr>
            <w:tcW w:w="1484" w:type="dxa"/>
            <w:tcBorders>
              <w:top w:val="nil"/>
              <w:left w:val="nil"/>
              <w:bottom w:val="double" w:sz="6" w:space="0" w:color="auto"/>
              <w:right w:val="single" w:sz="4" w:space="0" w:color="auto"/>
            </w:tcBorders>
            <w:vAlign w:val="bottom"/>
          </w:tcPr>
          <w:p w:rsidR="00AF50E4" w:rsidRPr="00B64687" w:rsidRDefault="00AF50E4" w:rsidP="00B64687">
            <w:pPr>
              <w:jc w:val="right"/>
              <w:rPr>
                <w:rFonts w:cs="Arial"/>
                <w:color w:val="000000"/>
                <w:szCs w:val="24"/>
              </w:rPr>
            </w:pPr>
            <w:r w:rsidRPr="00B64687">
              <w:rPr>
                <w:rFonts w:cs="Arial"/>
                <w:color w:val="000000"/>
                <w:szCs w:val="24"/>
              </w:rPr>
              <w:t>£28,898.84</w:t>
            </w:r>
          </w:p>
        </w:tc>
      </w:tr>
      <w:tr w:rsidR="00AF50E4" w:rsidRPr="001E39E7" w:rsidTr="00B64687">
        <w:trPr>
          <w:trHeight w:val="345"/>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 </w:t>
            </w:r>
          </w:p>
        </w:tc>
        <w:tc>
          <w:tcPr>
            <w:tcW w:w="1418" w:type="dxa"/>
            <w:tcBorders>
              <w:top w:val="nil"/>
              <w:left w:val="nil"/>
              <w:bottom w:val="double" w:sz="6" w:space="0" w:color="auto"/>
              <w:right w:val="single" w:sz="4" w:space="0" w:color="auto"/>
            </w:tcBorders>
            <w:noWrap/>
            <w:vAlign w:val="bottom"/>
            <w:hideMark/>
          </w:tcPr>
          <w:p w:rsidR="00AF50E4" w:rsidRPr="00B64687" w:rsidRDefault="00AF50E4" w:rsidP="00B64687">
            <w:pPr>
              <w:jc w:val="right"/>
              <w:rPr>
                <w:rFonts w:cs="Arial"/>
                <w:b/>
                <w:bCs/>
                <w:color w:val="000000"/>
                <w:szCs w:val="24"/>
              </w:rPr>
            </w:pPr>
            <w:r w:rsidRPr="00B64687">
              <w:rPr>
                <w:rFonts w:cs="Arial"/>
                <w:b/>
                <w:bCs/>
                <w:color w:val="000000"/>
                <w:szCs w:val="24"/>
              </w:rPr>
              <w:t>£50,590.47</w:t>
            </w:r>
          </w:p>
        </w:tc>
        <w:tc>
          <w:tcPr>
            <w:tcW w:w="1484" w:type="dxa"/>
            <w:tcBorders>
              <w:top w:val="nil"/>
              <w:left w:val="nil"/>
              <w:bottom w:val="double" w:sz="6" w:space="0" w:color="auto"/>
              <w:right w:val="single" w:sz="4" w:space="0" w:color="auto"/>
            </w:tcBorders>
            <w:vAlign w:val="bottom"/>
          </w:tcPr>
          <w:p w:rsidR="00AF50E4" w:rsidRPr="00B64687" w:rsidRDefault="00AF50E4" w:rsidP="00B64687">
            <w:pPr>
              <w:jc w:val="right"/>
              <w:rPr>
                <w:rFonts w:cs="Arial"/>
                <w:b/>
                <w:bCs/>
                <w:color w:val="000000"/>
                <w:szCs w:val="24"/>
              </w:rPr>
            </w:pPr>
            <w:r w:rsidRPr="00B64687">
              <w:rPr>
                <w:rFonts w:cs="Arial"/>
                <w:b/>
                <w:bCs/>
                <w:color w:val="000000"/>
                <w:szCs w:val="24"/>
              </w:rPr>
              <w:t>£49,933.89</w:t>
            </w:r>
          </w:p>
        </w:tc>
      </w:tr>
      <w:tr w:rsidR="00AF50E4" w:rsidRPr="001E39E7" w:rsidTr="00B64687">
        <w:trPr>
          <w:trHeight w:val="330"/>
          <w:jc w:val="center"/>
        </w:trPr>
        <w:tc>
          <w:tcPr>
            <w:tcW w:w="4760" w:type="dxa"/>
            <w:tcBorders>
              <w:top w:val="nil"/>
              <w:left w:val="nil"/>
              <w:bottom w:val="single" w:sz="4" w:space="0" w:color="auto"/>
              <w:right w:val="nil"/>
            </w:tcBorders>
            <w:noWrap/>
            <w:vAlign w:val="bottom"/>
            <w:hideMark/>
          </w:tcPr>
          <w:p w:rsidR="00AF50E4" w:rsidRPr="00B64687" w:rsidRDefault="00AF50E4" w:rsidP="00B64687">
            <w:pPr>
              <w:rPr>
                <w:rFonts w:cs="Arial"/>
                <w:b/>
                <w:bCs/>
                <w:color w:val="000000"/>
                <w:szCs w:val="24"/>
                <w:u w:val="single"/>
                <w:lang w:eastAsia="en-GB"/>
              </w:rPr>
            </w:pPr>
            <w:r w:rsidRPr="00B64687">
              <w:rPr>
                <w:rFonts w:cs="Arial"/>
                <w:b/>
                <w:bCs/>
                <w:color w:val="000000"/>
                <w:szCs w:val="24"/>
                <w:u w:val="single"/>
                <w:lang w:eastAsia="en-GB"/>
              </w:rPr>
              <w:t>Payments</w:t>
            </w:r>
          </w:p>
        </w:tc>
        <w:tc>
          <w:tcPr>
            <w:tcW w:w="1418" w:type="dxa"/>
            <w:tcBorders>
              <w:top w:val="nil"/>
              <w:left w:val="nil"/>
              <w:bottom w:val="single" w:sz="4" w:space="0" w:color="auto"/>
              <w:right w:val="nil"/>
            </w:tcBorders>
            <w:noWrap/>
            <w:vAlign w:val="bottom"/>
            <w:hideMark/>
          </w:tcPr>
          <w:p w:rsidR="00AF50E4" w:rsidRPr="00B64687" w:rsidRDefault="00AF50E4" w:rsidP="00B64687">
            <w:pPr>
              <w:rPr>
                <w:rFonts w:cs="Arial"/>
                <w:color w:val="000000"/>
                <w:szCs w:val="24"/>
              </w:rPr>
            </w:pPr>
          </w:p>
        </w:tc>
        <w:tc>
          <w:tcPr>
            <w:tcW w:w="1484" w:type="dxa"/>
            <w:tcBorders>
              <w:top w:val="nil"/>
              <w:left w:val="nil"/>
              <w:bottom w:val="single" w:sz="4" w:space="0" w:color="auto"/>
              <w:right w:val="nil"/>
            </w:tcBorders>
            <w:vAlign w:val="bottom"/>
          </w:tcPr>
          <w:p w:rsidR="00AF50E4" w:rsidRPr="00B64687" w:rsidRDefault="00AF50E4" w:rsidP="00B64687">
            <w:pPr>
              <w:rPr>
                <w:rFonts w:cs="Arial"/>
                <w:color w:val="000000"/>
                <w:szCs w:val="24"/>
              </w:rPr>
            </w:pPr>
          </w:p>
        </w:tc>
      </w:tr>
      <w:tr w:rsidR="00AF50E4" w:rsidRPr="001E39E7" w:rsidTr="00B64687">
        <w:trPr>
          <w:trHeight w:val="300"/>
          <w:jc w:val="center"/>
        </w:trPr>
        <w:tc>
          <w:tcPr>
            <w:tcW w:w="4760" w:type="dxa"/>
            <w:tcBorders>
              <w:top w:val="single" w:sz="4" w:space="0" w:color="auto"/>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Conference Expenses 2016 (2015)</w:t>
            </w:r>
          </w:p>
        </w:tc>
        <w:tc>
          <w:tcPr>
            <w:tcW w:w="1418" w:type="dxa"/>
            <w:tcBorders>
              <w:top w:val="single" w:sz="4" w:space="0" w:color="auto"/>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£10,100.57</w:t>
            </w:r>
          </w:p>
        </w:tc>
        <w:tc>
          <w:tcPr>
            <w:tcW w:w="1484" w:type="dxa"/>
            <w:tcBorders>
              <w:top w:val="single" w:sz="4" w:space="0" w:color="auto"/>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£10,888.16</w:t>
            </w:r>
          </w:p>
        </w:tc>
      </w:tr>
      <w:tr w:rsidR="00AF50E4" w:rsidRPr="001E39E7" w:rsidTr="00B64687">
        <w:trPr>
          <w:trHeight w:val="246"/>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Conference Expenses 2016-19 (2015-18)</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£1,012.50</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£924.00</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Executive Committee Expenses</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£7,560.38</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£6,470.18</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Representing AHPCC (Expenses)</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£2,425.09</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£447.28</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Organisational Subscriptions</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£140.40</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£75.00</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Printing and Stationary</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£67.42</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£71.96</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 xml:space="preserve">Professional Services </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£0.00</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£0.00</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UKBHC (CBC points)</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£150.00</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£150.00</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Website</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£00.00</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£200.00</w:t>
            </w:r>
          </w:p>
        </w:tc>
      </w:tr>
      <w:tr w:rsidR="00AF50E4" w:rsidRPr="001E39E7" w:rsidTr="00B64687">
        <w:trPr>
          <w:trHeight w:val="300"/>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Other (scoping project)</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color w:val="000000"/>
                <w:szCs w:val="24"/>
              </w:rPr>
            </w:pPr>
            <w:r w:rsidRPr="00B64687">
              <w:rPr>
                <w:rFonts w:cs="Arial"/>
                <w:color w:val="000000"/>
                <w:szCs w:val="24"/>
              </w:rPr>
              <w:t>£250.00</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color w:val="000000"/>
                <w:szCs w:val="24"/>
              </w:rPr>
            </w:pPr>
            <w:r w:rsidRPr="00B64687">
              <w:rPr>
                <w:rFonts w:cs="Arial"/>
                <w:color w:val="000000"/>
                <w:szCs w:val="24"/>
              </w:rPr>
              <w:t>£28.50</w:t>
            </w:r>
          </w:p>
        </w:tc>
      </w:tr>
      <w:tr w:rsidR="00AF50E4" w:rsidRPr="001E39E7" w:rsidTr="00B64687">
        <w:trPr>
          <w:trHeight w:val="315"/>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Total Payments</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szCs w:val="24"/>
              </w:rPr>
            </w:pPr>
            <w:r w:rsidRPr="00B64687">
              <w:rPr>
                <w:rFonts w:cs="Arial"/>
                <w:szCs w:val="24"/>
              </w:rPr>
              <w:t>£21,706.36</w:t>
            </w:r>
          </w:p>
        </w:tc>
        <w:tc>
          <w:tcPr>
            <w:tcW w:w="1484" w:type="dxa"/>
            <w:tcBorders>
              <w:top w:val="nil"/>
              <w:left w:val="nil"/>
              <w:bottom w:val="single" w:sz="4" w:space="0" w:color="auto"/>
              <w:right w:val="single" w:sz="4" w:space="0" w:color="auto"/>
            </w:tcBorders>
            <w:vAlign w:val="center"/>
          </w:tcPr>
          <w:p w:rsidR="00AF50E4" w:rsidRPr="00B64687" w:rsidRDefault="00AF50E4" w:rsidP="00B64687">
            <w:pPr>
              <w:jc w:val="right"/>
              <w:rPr>
                <w:rFonts w:cs="Arial"/>
                <w:szCs w:val="24"/>
              </w:rPr>
            </w:pPr>
            <w:r w:rsidRPr="00B64687">
              <w:rPr>
                <w:rFonts w:cs="Arial"/>
                <w:szCs w:val="24"/>
              </w:rPr>
              <w:t>£19,255.08</w:t>
            </w:r>
          </w:p>
        </w:tc>
      </w:tr>
      <w:tr w:rsidR="00AF50E4" w:rsidRPr="001E39E7" w:rsidTr="00B64687">
        <w:trPr>
          <w:trHeight w:val="315"/>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Bank Balance at 31st December 2016 (15)</w:t>
            </w:r>
          </w:p>
        </w:tc>
        <w:tc>
          <w:tcPr>
            <w:tcW w:w="1418" w:type="dxa"/>
            <w:tcBorders>
              <w:top w:val="nil"/>
              <w:left w:val="nil"/>
              <w:bottom w:val="single" w:sz="4" w:space="0" w:color="auto"/>
              <w:right w:val="single" w:sz="4" w:space="0" w:color="auto"/>
            </w:tcBorders>
            <w:noWrap/>
            <w:vAlign w:val="center"/>
            <w:hideMark/>
          </w:tcPr>
          <w:p w:rsidR="00AF50E4" w:rsidRPr="00B64687" w:rsidRDefault="00AF50E4" w:rsidP="00B64687">
            <w:pPr>
              <w:jc w:val="right"/>
              <w:rPr>
                <w:rFonts w:cs="Arial"/>
                <w:szCs w:val="24"/>
              </w:rPr>
            </w:pPr>
            <w:r w:rsidRPr="00B64687">
              <w:rPr>
                <w:rFonts w:cs="Arial"/>
                <w:szCs w:val="24"/>
              </w:rPr>
              <w:t>£28,884.11</w:t>
            </w:r>
          </w:p>
        </w:tc>
        <w:tc>
          <w:tcPr>
            <w:tcW w:w="1484" w:type="dxa"/>
            <w:tcBorders>
              <w:top w:val="single" w:sz="4" w:space="0" w:color="auto"/>
              <w:left w:val="single" w:sz="4" w:space="0" w:color="auto"/>
              <w:bottom w:val="double" w:sz="4" w:space="0" w:color="auto"/>
              <w:right w:val="single" w:sz="4" w:space="0" w:color="auto"/>
            </w:tcBorders>
            <w:vAlign w:val="center"/>
          </w:tcPr>
          <w:p w:rsidR="00AF50E4" w:rsidRPr="00B64687" w:rsidRDefault="00AF50E4" w:rsidP="00B64687">
            <w:pPr>
              <w:jc w:val="right"/>
              <w:rPr>
                <w:rFonts w:cs="Arial"/>
                <w:szCs w:val="24"/>
              </w:rPr>
            </w:pPr>
            <w:r w:rsidRPr="00B64687">
              <w:rPr>
                <w:rFonts w:cs="Arial"/>
                <w:szCs w:val="24"/>
              </w:rPr>
              <w:t>£30,678.81</w:t>
            </w:r>
          </w:p>
        </w:tc>
      </w:tr>
      <w:tr w:rsidR="00AF50E4" w:rsidRPr="001E39E7" w:rsidTr="00B64687">
        <w:trPr>
          <w:trHeight w:val="345"/>
          <w:jc w:val="center"/>
        </w:trPr>
        <w:tc>
          <w:tcPr>
            <w:tcW w:w="4760" w:type="dxa"/>
            <w:tcBorders>
              <w:top w:val="nil"/>
              <w:left w:val="single" w:sz="4" w:space="0" w:color="auto"/>
              <w:bottom w:val="single" w:sz="4" w:space="0" w:color="auto"/>
              <w:right w:val="single" w:sz="4" w:space="0" w:color="auto"/>
            </w:tcBorders>
            <w:noWrap/>
            <w:vAlign w:val="bottom"/>
            <w:hideMark/>
          </w:tcPr>
          <w:p w:rsidR="00AF50E4" w:rsidRPr="00B64687" w:rsidRDefault="00AF50E4" w:rsidP="00B64687">
            <w:pPr>
              <w:rPr>
                <w:rFonts w:cs="Arial"/>
                <w:color w:val="000000"/>
                <w:szCs w:val="24"/>
                <w:lang w:eastAsia="en-GB"/>
              </w:rPr>
            </w:pPr>
            <w:r w:rsidRPr="00B64687">
              <w:rPr>
                <w:rFonts w:cs="Arial"/>
                <w:color w:val="000000"/>
                <w:szCs w:val="24"/>
                <w:lang w:eastAsia="en-GB"/>
              </w:rPr>
              <w:t> </w:t>
            </w:r>
          </w:p>
        </w:tc>
        <w:tc>
          <w:tcPr>
            <w:tcW w:w="1418" w:type="dxa"/>
            <w:tcBorders>
              <w:top w:val="double" w:sz="6" w:space="0" w:color="auto"/>
              <w:left w:val="nil"/>
              <w:bottom w:val="double" w:sz="6" w:space="0" w:color="auto"/>
              <w:right w:val="single" w:sz="4" w:space="0" w:color="auto"/>
            </w:tcBorders>
            <w:noWrap/>
            <w:vAlign w:val="center"/>
            <w:hideMark/>
          </w:tcPr>
          <w:p w:rsidR="00AF50E4" w:rsidRPr="00B64687" w:rsidRDefault="00AF50E4" w:rsidP="00B64687">
            <w:pPr>
              <w:jc w:val="right"/>
              <w:rPr>
                <w:rFonts w:cs="Arial"/>
                <w:b/>
                <w:bCs/>
                <w:color w:val="000000"/>
                <w:szCs w:val="24"/>
              </w:rPr>
            </w:pPr>
            <w:r w:rsidRPr="00B64687">
              <w:rPr>
                <w:rFonts w:cs="Arial"/>
                <w:b/>
                <w:bCs/>
                <w:color w:val="000000"/>
                <w:szCs w:val="24"/>
              </w:rPr>
              <w:t>£50,590.47</w:t>
            </w:r>
          </w:p>
        </w:tc>
        <w:tc>
          <w:tcPr>
            <w:tcW w:w="1484" w:type="dxa"/>
            <w:tcBorders>
              <w:top w:val="double" w:sz="4" w:space="0" w:color="auto"/>
              <w:left w:val="nil"/>
              <w:bottom w:val="double" w:sz="6" w:space="0" w:color="auto"/>
              <w:right w:val="single" w:sz="4" w:space="0" w:color="auto"/>
            </w:tcBorders>
            <w:vAlign w:val="center"/>
          </w:tcPr>
          <w:p w:rsidR="00AF50E4" w:rsidRPr="00B64687" w:rsidRDefault="00AF50E4" w:rsidP="00B64687">
            <w:pPr>
              <w:jc w:val="right"/>
              <w:rPr>
                <w:rFonts w:cs="Arial"/>
                <w:b/>
                <w:bCs/>
                <w:color w:val="000000"/>
                <w:szCs w:val="24"/>
              </w:rPr>
            </w:pPr>
            <w:r w:rsidRPr="00B64687">
              <w:rPr>
                <w:rFonts w:cs="Arial"/>
                <w:color w:val="000000"/>
                <w:szCs w:val="24"/>
              </w:rPr>
              <w:t> </w:t>
            </w:r>
            <w:r w:rsidRPr="00B64687">
              <w:rPr>
                <w:rFonts w:cs="Arial"/>
                <w:b/>
                <w:bCs/>
                <w:color w:val="000000"/>
                <w:szCs w:val="24"/>
              </w:rPr>
              <w:t>£49,933.89</w:t>
            </w:r>
          </w:p>
        </w:tc>
      </w:tr>
    </w:tbl>
    <w:p w:rsidR="00AF50E4" w:rsidRPr="00B30DC5" w:rsidRDefault="00AF50E4" w:rsidP="00B64687">
      <w:pPr>
        <w:pStyle w:val="NormalAbove"/>
      </w:pPr>
      <w:r>
        <w:t xml:space="preserve">Thanks were made to Margery and accounts were accepted by all, proposed by Judy </w:t>
      </w:r>
      <w:proofErr w:type="gramStart"/>
      <w:r>
        <w:t>Davis  seconded</w:t>
      </w:r>
      <w:proofErr w:type="gramEnd"/>
      <w:r>
        <w:t xml:space="preserve"> by Keith Morrison</w:t>
      </w:r>
    </w:p>
    <w:p w:rsidR="00AF50E4" w:rsidRDefault="00AF50E4" w:rsidP="00AF50E4">
      <w:pPr>
        <w:pStyle w:val="Title"/>
      </w:pPr>
    </w:p>
    <w:p w:rsidR="00AF50E4" w:rsidRDefault="00AF50E4" w:rsidP="00AF50E4">
      <w:pPr>
        <w:pStyle w:val="Title"/>
      </w:pPr>
    </w:p>
    <w:p w:rsidR="00AF50E4" w:rsidRDefault="00AF50E4" w:rsidP="00AF50E4">
      <w:pPr>
        <w:pStyle w:val="Title"/>
      </w:pPr>
      <w:r>
        <w:t>Membership Report</w:t>
      </w:r>
    </w:p>
    <w:p w:rsidR="00AF50E4" w:rsidRDefault="00AF50E4" w:rsidP="00B64687">
      <w:pPr>
        <w:pStyle w:val="NormalSpace"/>
      </w:pPr>
      <w:r>
        <w:t>(</w:t>
      </w:r>
      <w:r>
        <w:t>P</w:t>
      </w:r>
      <w:r>
        <w:t>resented by Karen murphy on behalf of Mike Rattenbury)</w:t>
      </w:r>
      <w:r>
        <w:rPr>
          <w:b/>
        </w:rPr>
        <w:t xml:space="preserve">: </w:t>
      </w:r>
      <w:r>
        <w:t xml:space="preserve">as of today there are 157 members (with 17 to renew) some others unknown </w:t>
      </w:r>
      <w:proofErr w:type="gramStart"/>
      <w:r>
        <w:t>( retired</w:t>
      </w:r>
      <w:proofErr w:type="gramEnd"/>
      <w:r>
        <w:t>, resigned, delayed membership? It would be useful for anyone to share); would members inform re contact changes please</w:t>
      </w:r>
      <w:r w:rsidR="00B64687">
        <w:t xml:space="preserve">.  </w:t>
      </w:r>
      <w:r>
        <w:t>This compares with 137 in 2016 and 135 in 2015</w:t>
      </w:r>
      <w:r w:rsidR="00B64687">
        <w:t xml:space="preserve">.  </w:t>
      </w:r>
      <w:r>
        <w:t>One change to our web-site which now enables members themselves to change their own password.</w:t>
      </w:r>
    </w:p>
    <w:p w:rsidR="00AF50E4" w:rsidRPr="00AE496A" w:rsidRDefault="00AF50E4" w:rsidP="00B64687">
      <w:pPr>
        <w:pStyle w:val="NormalText"/>
      </w:pPr>
      <w:r>
        <w:t>Thanks made to Mike Rattenbury whose term of office has ended</w:t>
      </w:r>
      <w:r w:rsidR="00B64687">
        <w:t xml:space="preserve">.  </w:t>
      </w:r>
      <w:r>
        <w:t>It was proposed that we send greetings and thanks officially to Mike for his hard work and years of support.</w:t>
      </w:r>
    </w:p>
    <w:p w:rsidR="00AF50E4" w:rsidRPr="00AF50E4" w:rsidRDefault="00AF50E4" w:rsidP="00AF50E4">
      <w:pPr>
        <w:pStyle w:val="Title"/>
      </w:pPr>
      <w:r w:rsidRPr="00AF50E4">
        <w:lastRenderedPageBreak/>
        <w:t>Website report (Gary Windon)</w:t>
      </w:r>
    </w:p>
    <w:p w:rsidR="00AF50E4" w:rsidRDefault="00AF50E4" w:rsidP="00AF50E4">
      <w:pPr>
        <w:pStyle w:val="NormalSpace"/>
      </w:pPr>
      <w:r>
        <w:t>It is a member-driven web-site and so it is up</w:t>
      </w:r>
      <w:r>
        <w:t xml:space="preserve"> </w:t>
      </w:r>
      <w:r>
        <w:t>to members to contribute and it would be good to up-date shared resource material and tools particularly.</w:t>
      </w:r>
    </w:p>
    <w:p w:rsidR="00AF50E4" w:rsidRDefault="00AF50E4" w:rsidP="00AF50E4">
      <w:pPr>
        <w:pStyle w:val="NormalSpace"/>
      </w:pPr>
      <w:r>
        <w:t>Thanks given to Gary for his work.</w:t>
      </w:r>
    </w:p>
    <w:p w:rsidR="00AF50E4" w:rsidRDefault="00AF50E4" w:rsidP="00AF50E4">
      <w:pPr>
        <w:pStyle w:val="Title"/>
      </w:pPr>
    </w:p>
    <w:p w:rsidR="00AF50E4" w:rsidRDefault="00AF50E4" w:rsidP="00AF50E4">
      <w:pPr>
        <w:pStyle w:val="Title"/>
      </w:pPr>
    </w:p>
    <w:p w:rsidR="00AF50E4" w:rsidRDefault="00AF50E4" w:rsidP="00AF50E4">
      <w:pPr>
        <w:pStyle w:val="Title"/>
      </w:pPr>
      <w:r>
        <w:t>Reports from other representatives:</w:t>
      </w:r>
    </w:p>
    <w:p w:rsidR="00AF50E4" w:rsidRPr="00AF50E4" w:rsidRDefault="00AF50E4" w:rsidP="00AF50E4">
      <w:pPr>
        <w:pStyle w:val="Heading1"/>
      </w:pPr>
      <w:r w:rsidRPr="00AF50E4">
        <w:t>Healthcare Chaplaincy Faith &amp; Belief Group (HCFBG)</w:t>
      </w:r>
      <w:r w:rsidR="00B64687">
        <w:t xml:space="preserve">.  </w:t>
      </w:r>
      <w:r w:rsidRPr="00AF50E4">
        <w:t>David Buck</w:t>
      </w:r>
    </w:p>
    <w:p w:rsidR="00AF50E4" w:rsidRDefault="00AF50E4" w:rsidP="00AF50E4">
      <w:pPr>
        <w:pStyle w:val="Default"/>
        <w:rPr>
          <w:sz w:val="23"/>
          <w:szCs w:val="23"/>
        </w:rPr>
      </w:pPr>
      <w:r>
        <w:rPr>
          <w:b/>
          <w:bCs/>
          <w:sz w:val="23"/>
          <w:szCs w:val="23"/>
        </w:rPr>
        <w:t>NETWORK for Pastoral, Spiritual and Reli</w:t>
      </w:r>
      <w:r w:rsidR="00B64687">
        <w:rPr>
          <w:b/>
          <w:bCs/>
          <w:sz w:val="23"/>
          <w:szCs w:val="23"/>
        </w:rPr>
        <w:t>gious Care in Health (Formerly HCFBG</w:t>
      </w:r>
      <w:r>
        <w:rPr>
          <w:b/>
          <w:bCs/>
          <w:sz w:val="23"/>
          <w:szCs w:val="23"/>
        </w:rPr>
        <w:t>)</w:t>
      </w:r>
    </w:p>
    <w:p w:rsidR="00AF50E4" w:rsidRDefault="00AF50E4" w:rsidP="00AF50E4">
      <w:pPr>
        <w:pStyle w:val="NormalSpace"/>
      </w:pPr>
      <w:r>
        <w:t>The key aim of the Network for Pastoral, Spiritual &amp; Religious Care in Health (NPSRCH) is to promote and support religious, spiritual and pastoral care in the NHS in England</w:t>
      </w:r>
      <w:r w:rsidR="00B64687">
        <w:t xml:space="preserve">.  </w:t>
      </w:r>
      <w:r>
        <w:t>‘Chaplaincy’ is the term generally used to cover this broad range of care</w:t>
      </w:r>
      <w:r w:rsidR="00B64687">
        <w:t xml:space="preserve">.  </w:t>
      </w:r>
      <w:r>
        <w:t>It works to facilitate a common understanding of and support for chaplaincy amongst faith and belief communities, chaplaincy bodies and other providers of religious, spiritual and pastoral care</w:t>
      </w:r>
      <w:r w:rsidR="00B64687">
        <w:t xml:space="preserve">.  </w:t>
      </w:r>
      <w:r>
        <w:t>They also work to help users of chaplaincy services to understand the nature of this care</w:t>
      </w:r>
      <w:r w:rsidR="00B64687">
        <w:t xml:space="preserve">.  </w:t>
      </w:r>
      <w:r>
        <w:t xml:space="preserve">The NETWORK provides a means of consultation between faith and belief groups about chaplaincy and work in co-operation with healthcare and chaplaincy organisations, bodies and authorities providing this care, </w:t>
      </w:r>
      <w:proofErr w:type="gramStart"/>
      <w:r>
        <w:t>It</w:t>
      </w:r>
      <w:proofErr w:type="gramEnd"/>
      <w:r>
        <w:t xml:space="preserve"> supports faith and belief communities in developing their capacity to offer religious, spiritual and pastoral care through the education, training and authorisation of their chaplains and chaplaincy volunteers</w:t>
      </w:r>
      <w:r w:rsidR="00B64687">
        <w:t xml:space="preserve">.  </w:t>
      </w:r>
      <w:r>
        <w:t>They ensure that the various authorisation bodies are enabled to work together as closely as possible</w:t>
      </w:r>
      <w:r w:rsidR="00B64687">
        <w:t xml:space="preserve">.  </w:t>
      </w:r>
      <w:r>
        <w:t>The NETWORK provides advice to NHS England about chaplaincy, with the aim of enhancing holistic care and patient experience and provides a forum for advice and support to healthcare bodies and organisations within and outside the NHS</w:t>
      </w:r>
      <w:r w:rsidR="00B64687">
        <w:t xml:space="preserve">.  </w:t>
      </w:r>
      <w:r>
        <w:t>They promote the development and sharing of knowledge and good practice through chaplaincy research projects and conferences</w:t>
      </w:r>
      <w:r w:rsidR="00B64687">
        <w:t>.</w:t>
      </w:r>
    </w:p>
    <w:p w:rsidR="00AF50E4" w:rsidRDefault="00AF50E4" w:rsidP="00AF50E4">
      <w:pPr>
        <w:pStyle w:val="NormalSpace"/>
      </w:pPr>
      <w:r>
        <w:t>During the past year there have been significant developments within the NETWORK</w:t>
      </w:r>
      <w:r w:rsidR="00B64687">
        <w:t xml:space="preserve">.  </w:t>
      </w:r>
      <w:r>
        <w:t>The Non-Religious Pastoral Care Network has become a full member</w:t>
      </w:r>
      <w:r w:rsidR="00B64687">
        <w:t xml:space="preserve">.  </w:t>
      </w:r>
      <w:r>
        <w:t xml:space="preserve">(Other full membership consists of representation from </w:t>
      </w:r>
      <w:proofErr w:type="spellStart"/>
      <w:r>
        <w:t>Bahá’í</w:t>
      </w:r>
      <w:proofErr w:type="spellEnd"/>
      <w:r>
        <w:t>, Buddhist, Christian (Church of England, Roman Catholic, Free Churches), Hindu, Jain, Jewish, Muslim, and Sikh communities)</w:t>
      </w:r>
      <w:r w:rsidR="00B64687">
        <w:t xml:space="preserve">.  </w:t>
      </w:r>
      <w:r>
        <w:t>The AHPCC, College of Healthcare Chaplains and the UK Board of Healthcare Chaplaincy have observer status within the NETWORK</w:t>
      </w:r>
      <w:r w:rsidR="00B64687">
        <w:t>.</w:t>
      </w:r>
    </w:p>
    <w:p w:rsidR="00AF50E4" w:rsidRDefault="00AF50E4" w:rsidP="00AF50E4">
      <w:pPr>
        <w:pStyle w:val="NormalSpace"/>
      </w:pPr>
      <w:r>
        <w:t>The name of the NETWORK has changed from Healthcare Faith and Belief Group (HCFBG) to the NETWORK for Pastoral, Spiritual and Religious Care in Health (NPSRCH)</w:t>
      </w:r>
      <w:r w:rsidR="00B64687">
        <w:t>.</w:t>
      </w:r>
    </w:p>
    <w:p w:rsidR="00AF50E4" w:rsidRDefault="00AF50E4" w:rsidP="00AF50E4">
      <w:pPr>
        <w:pStyle w:val="NormalSpace"/>
      </w:pPr>
      <w:r>
        <w:t>The NETWORK has agreed to merge with the Chaplaincy Leadership Forum</w:t>
      </w:r>
      <w:r w:rsidR="00B64687">
        <w:t xml:space="preserve">.  </w:t>
      </w:r>
      <w:r>
        <w:t>This merger is described as a vehicle for strategic planning for chaplaincy in England</w:t>
      </w:r>
      <w:r w:rsidR="00B64687">
        <w:t xml:space="preserve">.  </w:t>
      </w:r>
      <w:r>
        <w:t>It is considered that the merger would increase the credibility of the group and its work</w:t>
      </w:r>
      <w:r w:rsidR="00B64687">
        <w:t xml:space="preserve">.  </w:t>
      </w:r>
      <w:r>
        <w:t>The NETWORK is currently in a period of transition (ending in September 2017) whilst considering a new constitution/terms of reference</w:t>
      </w:r>
      <w:r w:rsidR="00B64687">
        <w:t xml:space="preserve">.  </w:t>
      </w:r>
      <w:r>
        <w:t>The AHPCC will become full members of the NETWORK with two council representatives</w:t>
      </w:r>
      <w:r w:rsidR="00B64687">
        <w:t xml:space="preserve">.  </w:t>
      </w:r>
    </w:p>
    <w:p w:rsidR="00AF50E4" w:rsidRDefault="00AF50E4" w:rsidP="00AF50E4">
      <w:pPr>
        <w:pStyle w:val="Default"/>
        <w:rPr>
          <w:sz w:val="23"/>
          <w:szCs w:val="23"/>
        </w:rPr>
      </w:pPr>
      <w:r>
        <w:rPr>
          <w:sz w:val="23"/>
          <w:szCs w:val="23"/>
        </w:rPr>
        <w:t>Projects and work streams supported by the NETWORK over the past year have included a Religious Literacy Project, Community Chaplaincy, Education programmes and training events</w:t>
      </w:r>
      <w:r w:rsidR="00B64687">
        <w:rPr>
          <w:sz w:val="23"/>
          <w:szCs w:val="23"/>
        </w:rPr>
        <w:t xml:space="preserve">.  </w:t>
      </w:r>
    </w:p>
    <w:p w:rsidR="00AF50E4" w:rsidRDefault="00AF50E4" w:rsidP="00AF50E4">
      <w:pPr>
        <w:rPr>
          <w:sz w:val="23"/>
          <w:szCs w:val="23"/>
        </w:rPr>
      </w:pPr>
      <w:r>
        <w:rPr>
          <w:sz w:val="23"/>
          <w:szCs w:val="23"/>
        </w:rPr>
        <w:t>NHS funding for the group for 2017-19 has largely been secured (£240,000), a portion of which is likely to go towards completing the update of the chaplaincy guidelines.</w:t>
      </w:r>
    </w:p>
    <w:p w:rsidR="00AF50E4" w:rsidRDefault="00AF50E4" w:rsidP="00AF50E4">
      <w:pPr>
        <w:pStyle w:val="Heading2"/>
      </w:pPr>
      <w:r w:rsidRPr="00CE0132">
        <w:lastRenderedPageBreak/>
        <w:t>European Network of Healthcare Chaplaincy (ENHCC</w:t>
      </w:r>
      <w:proofErr w:type="gramStart"/>
      <w:r w:rsidRPr="00CE0132">
        <w:t>) :</w:t>
      </w:r>
      <w:proofErr w:type="gramEnd"/>
    </w:p>
    <w:p w:rsidR="00AF50E4" w:rsidRDefault="00AF50E4" w:rsidP="00AF50E4">
      <w:pPr>
        <w:pStyle w:val="NormalText"/>
      </w:pPr>
      <w:r>
        <w:t xml:space="preserve">Andrew </w:t>
      </w:r>
      <w:proofErr w:type="spellStart"/>
      <w:r>
        <w:t>Goodhead</w:t>
      </w:r>
      <w:proofErr w:type="spellEnd"/>
      <w:r>
        <w:t xml:space="preserve">, chaplain of St Christopher’s London, spoke </w:t>
      </w:r>
      <w:r w:rsidR="00B64687">
        <w:t xml:space="preserve">by invitation </w:t>
      </w:r>
      <w:r>
        <w:t>to the Executive about the history and reality of the EAPC</w:t>
      </w:r>
      <w:r w:rsidRPr="00AF50E4">
        <w:t>; that he had joined</w:t>
      </w:r>
      <w:r w:rsidR="00B64687">
        <w:t xml:space="preserve"> with Peter Speck and two</w:t>
      </w:r>
      <w:r w:rsidRPr="00AF50E4">
        <w:t xml:space="preserve"> other colleagues, Carlo </w:t>
      </w:r>
      <w:proofErr w:type="spellStart"/>
      <w:r w:rsidRPr="00AF50E4">
        <w:t>Leget</w:t>
      </w:r>
      <w:proofErr w:type="spellEnd"/>
      <w:r w:rsidRPr="00AF50E4">
        <w:t xml:space="preserve"> (University of Humanistic Studies, Utrecht, The Netherlands) and he is joint</w:t>
      </w:r>
      <w:r w:rsidR="009C25E6">
        <w:t xml:space="preserve"> chair with </w:t>
      </w:r>
      <w:proofErr w:type="spellStart"/>
      <w:r w:rsidR="009C25E6">
        <w:t>Joep</w:t>
      </w:r>
      <w:proofErr w:type="spellEnd"/>
      <w:r w:rsidR="009C25E6">
        <w:t xml:space="preserve"> van de Geer (</w:t>
      </w:r>
      <w:r w:rsidRPr="00AF50E4">
        <w:t>the Medical Centre Leeuwarden, The Netherlands)  and that it has been concerned with spiritual research, education and implementation (this latter hasn’t been realised); on the former: “in-spirit” study focused groups which were multi-national working alongside</w:t>
      </w:r>
      <w:r>
        <w:t xml:space="preserve"> patients and car</w:t>
      </w:r>
      <w:r>
        <w:t xml:space="preserve">ers in palliative care was now </w:t>
      </w:r>
      <w:r>
        <w:t>moribund</w:t>
      </w:r>
      <w:r w:rsidR="00B64687">
        <w:t xml:space="preserve">.  </w:t>
      </w:r>
      <w:r>
        <w:t>For education, a conference in Munich resulted in publication but that a White Paper was now needed and that depended upon funding to employ someone undertaking educational literacy review (and this currently seemed unlikely</w:t>
      </w:r>
      <w:r>
        <w:t>.</w:t>
      </w:r>
    </w:p>
    <w:p w:rsidR="00AF50E4" w:rsidRDefault="00AF50E4" w:rsidP="00B64687">
      <w:pPr>
        <w:pStyle w:val="NormalText"/>
      </w:pPr>
      <w:r>
        <w:t xml:space="preserve">Margery asked whether Andrew or the EAPC knew and worked with the ENHCC: the answer was no and she suggested he/it got in touch with Ewan Kelly); Andrew agreed saying that its best route was another organisation as partner; Conferences tended to be medically-focused and that spirituality was significantly highlighted and spoke of task forces having their life: given the EAPC was </w:t>
      </w:r>
      <w:r w:rsidRPr="00B64687">
        <w:t>currently</w:t>
      </w:r>
      <w:r>
        <w:t xml:space="preserve"> struggling, was this thus inevitable? The question might be for us: what is it we offer as chaplains – our role and communicating such.</w:t>
      </w:r>
    </w:p>
    <w:p w:rsidR="00AF50E4" w:rsidRPr="00B64687" w:rsidRDefault="00B64687" w:rsidP="00B64687">
      <w:pPr>
        <w:pStyle w:val="Heading2"/>
      </w:pPr>
      <w:r>
        <w:t xml:space="preserve">Northern </w:t>
      </w:r>
      <w:r w:rsidRPr="00B64687">
        <w:t>Ireland</w:t>
      </w:r>
    </w:p>
    <w:p w:rsidR="00AF50E4" w:rsidRDefault="00AF50E4" w:rsidP="00AF50E4">
      <w:pPr>
        <w:pStyle w:val="NormalSpace"/>
      </w:pPr>
      <w:r>
        <w:rPr>
          <w:lang w:val="en-IE"/>
        </w:rPr>
        <w:t xml:space="preserve">The AHPCC Northern Ireland &amp; Donegal Regional Group </w:t>
      </w:r>
      <w:proofErr w:type="gramStart"/>
      <w:r>
        <w:rPr>
          <w:lang w:val="en-IE"/>
        </w:rPr>
        <w:t>continue</w:t>
      </w:r>
      <w:proofErr w:type="gramEnd"/>
      <w:r>
        <w:rPr>
          <w:lang w:val="en-IE"/>
        </w:rPr>
        <w:t xml:space="preserve"> to meet regularly</w:t>
      </w:r>
      <w:r w:rsidR="00B64687">
        <w:rPr>
          <w:lang w:val="en-IE"/>
        </w:rPr>
        <w:t xml:space="preserve">.  </w:t>
      </w:r>
      <w:r>
        <w:rPr>
          <w:lang w:val="en-IE"/>
        </w:rPr>
        <w:t>During the past year the members have met in the various Hospices in Northern Ireland</w:t>
      </w:r>
      <w:r w:rsidR="00B64687">
        <w:rPr>
          <w:lang w:val="en-IE"/>
        </w:rPr>
        <w:t xml:space="preserve">.  </w:t>
      </w:r>
      <w:r>
        <w:rPr>
          <w:lang w:val="en-IE"/>
        </w:rPr>
        <w:t xml:space="preserve">We have had meetings in Marie Curie Hospice in Belfast and previously at Donegal Hospice which is located close to the border between Northern Ireland and the Republic of Ireland and the most recent meeting </w:t>
      </w:r>
      <w:proofErr w:type="gramStart"/>
      <w:r>
        <w:rPr>
          <w:lang w:val="en-IE"/>
        </w:rPr>
        <w:t>was</w:t>
      </w:r>
      <w:proofErr w:type="gramEnd"/>
      <w:r>
        <w:rPr>
          <w:lang w:val="en-IE"/>
        </w:rPr>
        <w:t xml:space="preserve"> held in March 2017 in the brand new Northern Ireland Hospice in Belfast</w:t>
      </w:r>
      <w:r w:rsidR="00B64687">
        <w:rPr>
          <w:lang w:val="en-IE"/>
        </w:rPr>
        <w:t xml:space="preserve">.  </w:t>
      </w:r>
      <w:r>
        <w:rPr>
          <w:lang w:val="en-IE"/>
        </w:rPr>
        <w:t xml:space="preserve">The Speakers on that occasion were Jenny </w:t>
      </w:r>
      <w:proofErr w:type="spellStart"/>
      <w:r>
        <w:rPr>
          <w:lang w:val="en-IE"/>
        </w:rPr>
        <w:t>Donnan</w:t>
      </w:r>
      <w:proofErr w:type="spellEnd"/>
      <w:r>
        <w:rPr>
          <w:lang w:val="en-IE"/>
        </w:rPr>
        <w:t>,</w:t>
      </w:r>
      <w:r>
        <w:rPr>
          <w:lang w:val="en-IE"/>
        </w:rPr>
        <w:t xml:space="preserve"> a nurse in palliative</w:t>
      </w:r>
      <w:r>
        <w:rPr>
          <w:lang w:val="en-IE"/>
        </w:rPr>
        <w:t xml:space="preserve"> </w:t>
      </w:r>
      <w:r>
        <w:rPr>
          <w:lang w:val="en-IE"/>
        </w:rPr>
        <w:t>care</w:t>
      </w:r>
      <w:r>
        <w:rPr>
          <w:lang w:val="en-IE"/>
        </w:rPr>
        <w:t xml:space="preserve"> </w:t>
      </w:r>
      <w:r>
        <w:rPr>
          <w:lang w:val="en-IE"/>
        </w:rPr>
        <w:t>for 20 years at Northern Ireland Hospice</w:t>
      </w:r>
      <w:r>
        <w:rPr>
          <w:lang w:val="en-IE"/>
        </w:rPr>
        <w:t xml:space="preserve">, </w:t>
      </w:r>
      <w:r>
        <w:rPr>
          <w:lang w:val="en-IE"/>
        </w:rPr>
        <w:t xml:space="preserve">and John </w:t>
      </w:r>
      <w:proofErr w:type="spellStart"/>
      <w:r>
        <w:rPr>
          <w:lang w:val="en-IE"/>
        </w:rPr>
        <w:t>Wonnacott</w:t>
      </w:r>
      <w:proofErr w:type="spellEnd"/>
      <w:r>
        <w:rPr>
          <w:lang w:val="en-IE"/>
        </w:rPr>
        <w:t xml:space="preserve"> who has recently been appointed as the Specialist Palliative Care </w:t>
      </w:r>
      <w:r w:rsidRPr="00AF50E4">
        <w:t>Chaplain</w:t>
      </w:r>
      <w:r>
        <w:rPr>
          <w:lang w:val="en-IE"/>
        </w:rPr>
        <w:t xml:space="preserve"> at the Macmillan Unit at Antrim Area Hospital.</w:t>
      </w:r>
    </w:p>
    <w:p w:rsidR="00AF50E4" w:rsidRDefault="00AF50E4" w:rsidP="00B64687">
      <w:pPr>
        <w:pStyle w:val="NormalText"/>
      </w:pPr>
      <w:r>
        <w:rPr>
          <w:lang w:val="en-IE"/>
        </w:rPr>
        <w:t>Our next meeting will be held in the Southern Area Hospice in Newry, Co</w:t>
      </w:r>
      <w:r w:rsidR="00B64687">
        <w:rPr>
          <w:lang w:val="en-IE"/>
        </w:rPr>
        <w:t xml:space="preserve">. </w:t>
      </w:r>
      <w:r>
        <w:rPr>
          <w:lang w:val="en-IE"/>
        </w:rPr>
        <w:t>Down</w:t>
      </w:r>
      <w:r w:rsidR="00B64687">
        <w:rPr>
          <w:lang w:val="en-IE"/>
        </w:rPr>
        <w:t xml:space="preserve">.  </w:t>
      </w:r>
      <w:r>
        <w:rPr>
          <w:lang w:val="en-IE"/>
        </w:rPr>
        <w:t>There is great fri</w:t>
      </w:r>
      <w:r w:rsidR="00B64687">
        <w:rPr>
          <w:lang w:val="en-IE"/>
        </w:rPr>
        <w:t>endship and fellowship between m</w:t>
      </w:r>
      <w:r>
        <w:rPr>
          <w:lang w:val="en-IE"/>
        </w:rPr>
        <w:t>embers and everyone looks forward to meeting together and having lunch together</w:t>
      </w:r>
      <w:r w:rsidR="00B64687">
        <w:rPr>
          <w:lang w:val="en-IE"/>
        </w:rPr>
        <w:t xml:space="preserve">.  </w:t>
      </w:r>
      <w:r>
        <w:rPr>
          <w:lang w:val="en-IE"/>
        </w:rPr>
        <w:t>We see our meetings as a great way to share ideas and resources with one another</w:t>
      </w:r>
      <w:r w:rsidR="00B64687">
        <w:rPr>
          <w:lang w:val="en-IE"/>
        </w:rPr>
        <w:t xml:space="preserve">.  </w:t>
      </w:r>
      <w:r>
        <w:rPr>
          <w:lang w:val="en-IE"/>
        </w:rPr>
        <w:t>Matthew Hagan highlighted the</w:t>
      </w:r>
      <w:r>
        <w:rPr>
          <w:lang w:val="en-IE"/>
        </w:rPr>
        <w:t xml:space="preserve"> resources on the NI website.</w:t>
      </w:r>
    </w:p>
    <w:p w:rsidR="00AF50E4" w:rsidRDefault="00AF50E4" w:rsidP="00AF50E4">
      <w:pPr>
        <w:pStyle w:val="Title"/>
      </w:pPr>
    </w:p>
    <w:p w:rsidR="00AF50E4" w:rsidRDefault="00AF50E4" w:rsidP="00AF50E4">
      <w:pPr>
        <w:pStyle w:val="Title"/>
      </w:pPr>
      <w:r>
        <w:t>Correspondence</w:t>
      </w:r>
    </w:p>
    <w:p w:rsidR="00AF50E4" w:rsidRPr="00A326CB" w:rsidRDefault="00AF50E4" w:rsidP="00AF50E4">
      <w:pPr>
        <w:pStyle w:val="NormalSpace"/>
      </w:pPr>
      <w:r>
        <w:t>There was none</w:t>
      </w:r>
      <w:r>
        <w:t>,</w:t>
      </w:r>
      <w:r>
        <w:t xml:space="preserve"> but Karen asked members to notify the Executive (to whom she gave thanks of anyone we should be in touch with and exampled St Christopher’s London forthcoming 50</w:t>
      </w:r>
      <w:r>
        <w:t>th</w:t>
      </w:r>
      <w:r>
        <w:t xml:space="preserve"> anniversary and condolences to Myton Hospice following Abbas’ sad death</w:t>
      </w:r>
    </w:p>
    <w:p w:rsidR="00B64687" w:rsidRDefault="00B64687" w:rsidP="00AF50E4">
      <w:pPr>
        <w:pStyle w:val="Title"/>
      </w:pPr>
    </w:p>
    <w:p w:rsidR="00AF50E4" w:rsidRDefault="00AF50E4" w:rsidP="00AF50E4">
      <w:pPr>
        <w:pStyle w:val="Title"/>
      </w:pPr>
      <w:r>
        <w:t>Elections to the Executive</w:t>
      </w:r>
    </w:p>
    <w:p w:rsidR="00AF50E4" w:rsidRDefault="00AF50E4" w:rsidP="00AF50E4">
      <w:pPr>
        <w:pStyle w:val="NormalSpace"/>
      </w:pPr>
      <w:r>
        <w:t>Thanks were made to Bob who stepp</w:t>
      </w:r>
      <w:r w:rsidR="00B64687">
        <w:t>ed</w:t>
      </w:r>
      <w:r>
        <w:t xml:space="preserve"> down from the executive </w:t>
      </w:r>
      <w:r w:rsidR="00B64687">
        <w:t>after three years’</w:t>
      </w:r>
      <w:r>
        <w:t xml:space="preserve"> service.</w:t>
      </w:r>
    </w:p>
    <w:p w:rsidR="00AF50E4" w:rsidRDefault="00AF50E4" w:rsidP="00B64687">
      <w:pPr>
        <w:pStyle w:val="NormalText"/>
      </w:pPr>
      <w:r>
        <w:t xml:space="preserve">There were </w:t>
      </w:r>
      <w:r w:rsidR="00B64687">
        <w:t>two</w:t>
      </w:r>
      <w:r>
        <w:t xml:space="preserve"> nominations (Chris Cheeseman, proposed by Gary Windon and seconded by Ali </w:t>
      </w:r>
      <w:proofErr w:type="spellStart"/>
      <w:r>
        <w:t>Oxborrow</w:t>
      </w:r>
      <w:proofErr w:type="spellEnd"/>
      <w:r>
        <w:t xml:space="preserve"> and Stuart Murdoch, proposed by Nigel Mason and seconded by Keith Morrison) </w:t>
      </w:r>
      <w:r>
        <w:t>–</w:t>
      </w:r>
      <w:r>
        <w:t xml:space="preserve"> both</w:t>
      </w:r>
      <w:r>
        <w:t xml:space="preserve"> </w:t>
      </w:r>
      <w:r w:rsidR="00B64687">
        <w:t>were duly elected.</w:t>
      </w:r>
    </w:p>
    <w:p w:rsidR="00AF50E4" w:rsidRDefault="00AF50E4" w:rsidP="00AF50E4">
      <w:pPr>
        <w:pStyle w:val="NormalSpace"/>
      </w:pPr>
      <w:r>
        <w:t>Sally Bedborough, M</w:t>
      </w:r>
      <w:r w:rsidR="00B64687">
        <w:t xml:space="preserve">atthew Hagan and Nigel Mason were </w:t>
      </w:r>
      <w:r>
        <w:t>re-elected for a further three years</w:t>
      </w:r>
      <w:r w:rsidR="00B64687">
        <w:t>’</w:t>
      </w:r>
      <w:r>
        <w:t xml:space="preserve"> office</w:t>
      </w:r>
      <w:r w:rsidR="00B64687">
        <w:t>.</w:t>
      </w:r>
    </w:p>
    <w:p w:rsidR="00AF50E4" w:rsidRDefault="00AF50E4" w:rsidP="00AF50E4">
      <w:pPr>
        <w:pStyle w:val="Title"/>
      </w:pPr>
      <w:bookmarkStart w:id="0" w:name="_GoBack"/>
      <w:bookmarkEnd w:id="0"/>
      <w:r>
        <w:lastRenderedPageBreak/>
        <w:t>Any Other Business</w:t>
      </w:r>
    </w:p>
    <w:p w:rsidR="00AF50E4" w:rsidRPr="00D62406" w:rsidRDefault="00AF50E4" w:rsidP="00AF50E4">
      <w:pPr>
        <w:pStyle w:val="NormalSpace"/>
      </w:pPr>
      <w:r>
        <w:t>Bob reported tha</w:t>
      </w:r>
      <w:r>
        <w:t>t in 2015b Jessica Kingsley publishers</w:t>
      </w:r>
      <w:r>
        <w:t xml:space="preserve"> approached him to write a book on Hospices and palliative Care Chaplaincy and that he and Karen are its co-editors</w:t>
      </w:r>
      <w:r w:rsidR="00B64687">
        <w:t xml:space="preserve">.  </w:t>
      </w:r>
      <w:r>
        <w:t>It shall champion chaplaincy and reinforce the needs to employ chaplains</w:t>
      </w:r>
      <w:r w:rsidR="00B64687">
        <w:t xml:space="preserve">.  </w:t>
      </w:r>
      <w:r>
        <w:t>It consists of contributions expressing different views from a wide variety of hospices offering reflections around a theological perspective</w:t>
      </w:r>
      <w:r w:rsidR="00B64687">
        <w:t xml:space="preserve">.  </w:t>
      </w:r>
      <w:r>
        <w:t>Publication is due July 2017.</w:t>
      </w:r>
    </w:p>
    <w:p w:rsidR="00AF50E4" w:rsidRDefault="00AF50E4" w:rsidP="00AF50E4">
      <w:pPr>
        <w:pStyle w:val="NormalSpace"/>
        <w:rPr>
          <w:b/>
        </w:rPr>
      </w:pPr>
      <w:r>
        <w:t>Thanks were given to Karen for her chairing the meeting and for her continuing</w:t>
      </w:r>
      <w:r>
        <w:t xml:space="preserve"> Presidency.</w:t>
      </w:r>
    </w:p>
    <w:p w:rsidR="00AF50E4" w:rsidRPr="00D62406" w:rsidRDefault="00AF50E4" w:rsidP="00AF50E4">
      <w:pPr>
        <w:pStyle w:val="NormalSpace"/>
      </w:pPr>
      <w:r>
        <w:t>Bob reported that in 2015b Jessica Kingsley pub</w:t>
      </w:r>
      <w:r>
        <w:t>lishers</w:t>
      </w:r>
      <w:r>
        <w:t xml:space="preserve"> approached us to write a book on Hospices and palliative Care Chaplaincy and that he and Karen are its co-editors</w:t>
      </w:r>
      <w:r w:rsidR="00B64687">
        <w:t xml:space="preserve">.  </w:t>
      </w:r>
      <w:r>
        <w:t>It shall champion chaplaincy and reinforce the needs to employ chaplains</w:t>
      </w:r>
      <w:r w:rsidR="00B64687">
        <w:t xml:space="preserve">.  </w:t>
      </w:r>
      <w:r>
        <w:t>It consists of contributions expressing different views from a wide variety of hospices offering reflections around a theological perspective</w:t>
      </w:r>
      <w:r w:rsidR="00B64687">
        <w:t xml:space="preserve">.  </w:t>
      </w:r>
      <w:r>
        <w:t>Publication is due July 2017.</w:t>
      </w:r>
    </w:p>
    <w:p w:rsidR="00AF50E4" w:rsidRDefault="00AF50E4" w:rsidP="00AF50E4">
      <w:pPr>
        <w:pStyle w:val="NormalSpace"/>
      </w:pPr>
      <w:r>
        <w:t>Thanks were given to Karen for her chairing the meeting and fro her continuing Presidency of the AHPCC.</w:t>
      </w:r>
    </w:p>
    <w:p w:rsidR="00AF50E4" w:rsidRPr="00A326CB" w:rsidRDefault="00AF50E4" w:rsidP="00AF50E4">
      <w:pPr>
        <w:pStyle w:val="NormalSpace"/>
      </w:pPr>
      <w:r>
        <w:t>Meeting ended 6.20pm.</w:t>
      </w:r>
    </w:p>
    <w:sectPr w:rsidR="00AF50E4" w:rsidRPr="00A326CB"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4D6"/>
    <w:multiLevelType w:val="hybridMultilevel"/>
    <w:tmpl w:val="628CF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206770B"/>
    <w:multiLevelType w:val="hybridMultilevel"/>
    <w:tmpl w:val="183E49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E4"/>
    <w:rsid w:val="0007474A"/>
    <w:rsid w:val="00100463"/>
    <w:rsid w:val="004D1B72"/>
    <w:rsid w:val="00541552"/>
    <w:rsid w:val="00541F58"/>
    <w:rsid w:val="00786871"/>
    <w:rsid w:val="007B6AB4"/>
    <w:rsid w:val="009356AA"/>
    <w:rsid w:val="009C25E6"/>
    <w:rsid w:val="00AF50E4"/>
    <w:rsid w:val="00B64687"/>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E4"/>
    <w:pPr>
      <w:spacing w:after="0" w:line="264" w:lineRule="auto"/>
      <w:jc w:val="both"/>
    </w:pPr>
    <w:rPr>
      <w:rFonts w:ascii="Arial" w:hAnsi="Arial"/>
    </w:rPr>
  </w:style>
  <w:style w:type="paragraph" w:styleId="Heading1">
    <w:name w:val="heading 1"/>
    <w:basedOn w:val="Normal"/>
    <w:next w:val="Heading5"/>
    <w:link w:val="Heading1Char"/>
    <w:uiPriority w:val="9"/>
    <w:qFormat/>
    <w:rsid w:val="00AF50E4"/>
    <w:pPr>
      <w:keepNext/>
      <w:keepLines/>
      <w:spacing w:after="60"/>
      <w:outlineLvl w:val="0"/>
    </w:pPr>
    <w:rPr>
      <w:rFonts w:eastAsiaTheme="majorEastAsia" w:cstheme="majorBidi"/>
      <w:b/>
      <w:bCs/>
      <w:sz w:val="28"/>
      <w:szCs w:val="28"/>
    </w:rPr>
  </w:style>
  <w:style w:type="paragraph" w:styleId="Heading2">
    <w:name w:val="heading 2"/>
    <w:basedOn w:val="Normal"/>
    <w:next w:val="Heading5"/>
    <w:link w:val="Heading2Char"/>
    <w:uiPriority w:val="9"/>
    <w:unhideWhenUsed/>
    <w:qFormat/>
    <w:rsid w:val="00AF50E4"/>
    <w:pPr>
      <w:keepNext/>
      <w:keepLines/>
      <w:spacing w:before="480" w:after="60"/>
      <w:outlineLvl w:val="1"/>
    </w:pPr>
    <w:rPr>
      <w:rFonts w:eastAsiaTheme="majorEastAsia" w:cstheme="majorBidi"/>
      <w:b/>
      <w:bCs/>
      <w:sz w:val="28"/>
      <w:szCs w:val="26"/>
    </w:rPr>
  </w:style>
  <w:style w:type="paragraph" w:styleId="Heading3">
    <w:name w:val="heading 3"/>
    <w:basedOn w:val="Normal"/>
    <w:next w:val="NormalText"/>
    <w:link w:val="Heading3Char"/>
    <w:uiPriority w:val="9"/>
    <w:unhideWhenUsed/>
    <w:qFormat/>
    <w:rsid w:val="00AF50E4"/>
    <w:pPr>
      <w:keepNext/>
      <w:keepLines/>
      <w:outlineLvl w:val="2"/>
    </w:pPr>
    <w:rPr>
      <w:rFonts w:eastAsiaTheme="majorEastAsia" w:cstheme="majorBidi"/>
      <w:bCs/>
      <w:sz w:val="24"/>
      <w:u w:val="single"/>
    </w:rPr>
  </w:style>
  <w:style w:type="paragraph" w:styleId="Heading4">
    <w:name w:val="heading 4"/>
    <w:basedOn w:val="Normal"/>
    <w:next w:val="NormalText"/>
    <w:link w:val="Heading4Char"/>
    <w:uiPriority w:val="9"/>
    <w:unhideWhenUsed/>
    <w:qFormat/>
    <w:rsid w:val="00AF50E4"/>
    <w:pPr>
      <w:keepNext/>
      <w:keepLines/>
      <w:spacing w:before="360"/>
      <w:outlineLvl w:val="3"/>
    </w:pPr>
    <w:rPr>
      <w:rFonts w:eastAsiaTheme="majorEastAsia" w:cstheme="majorBidi"/>
      <w:bCs/>
      <w:iCs/>
      <w:sz w:val="24"/>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AF50E4"/>
    <w:pPr>
      <w:spacing w:after="12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AF50E4"/>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F50E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F50E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AF50E4"/>
    <w:rPr>
      <w:rFonts w:ascii="Arial" w:eastAsiaTheme="majorEastAsia" w:hAnsi="Arial" w:cstheme="majorBidi"/>
      <w:bCs/>
      <w:sz w:val="24"/>
      <w:u w:val="single"/>
    </w:rPr>
  </w:style>
  <w:style w:type="character" w:customStyle="1" w:styleId="Heading4Char">
    <w:name w:val="Heading 4 Char"/>
    <w:basedOn w:val="DefaultParagraphFont"/>
    <w:link w:val="Heading4"/>
    <w:uiPriority w:val="9"/>
    <w:rsid w:val="00AF50E4"/>
    <w:rPr>
      <w:rFonts w:ascii="Arial" w:eastAsiaTheme="majorEastAsia" w:hAnsi="Arial" w:cstheme="majorBidi"/>
      <w:bCs/>
      <w:iCs/>
      <w:sz w:val="24"/>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AF50E4"/>
    <w:pPr>
      <w:spacing w:line="240" w:lineRule="auto"/>
      <w:jc w:val="left"/>
    </w:pPr>
    <w:rPr>
      <w:rFonts w:ascii="Times New Roman" w:hAnsi="Times New Roman" w:cs="Times New Roman"/>
      <w:sz w:val="24"/>
      <w:szCs w:val="24"/>
      <w:lang w:eastAsia="en-GB"/>
    </w:rPr>
  </w:style>
  <w:style w:type="paragraph" w:customStyle="1" w:styleId="Default">
    <w:name w:val="Default"/>
    <w:rsid w:val="00AF50E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E4"/>
    <w:pPr>
      <w:spacing w:after="0" w:line="264" w:lineRule="auto"/>
      <w:jc w:val="both"/>
    </w:pPr>
    <w:rPr>
      <w:rFonts w:ascii="Arial" w:hAnsi="Arial"/>
    </w:rPr>
  </w:style>
  <w:style w:type="paragraph" w:styleId="Heading1">
    <w:name w:val="heading 1"/>
    <w:basedOn w:val="Normal"/>
    <w:next w:val="Heading5"/>
    <w:link w:val="Heading1Char"/>
    <w:uiPriority w:val="9"/>
    <w:qFormat/>
    <w:rsid w:val="00AF50E4"/>
    <w:pPr>
      <w:keepNext/>
      <w:keepLines/>
      <w:spacing w:after="60"/>
      <w:outlineLvl w:val="0"/>
    </w:pPr>
    <w:rPr>
      <w:rFonts w:eastAsiaTheme="majorEastAsia" w:cstheme="majorBidi"/>
      <w:b/>
      <w:bCs/>
      <w:sz w:val="28"/>
      <w:szCs w:val="28"/>
    </w:rPr>
  </w:style>
  <w:style w:type="paragraph" w:styleId="Heading2">
    <w:name w:val="heading 2"/>
    <w:basedOn w:val="Normal"/>
    <w:next w:val="Heading5"/>
    <w:link w:val="Heading2Char"/>
    <w:uiPriority w:val="9"/>
    <w:unhideWhenUsed/>
    <w:qFormat/>
    <w:rsid w:val="00AF50E4"/>
    <w:pPr>
      <w:keepNext/>
      <w:keepLines/>
      <w:spacing w:before="480" w:after="60"/>
      <w:outlineLvl w:val="1"/>
    </w:pPr>
    <w:rPr>
      <w:rFonts w:eastAsiaTheme="majorEastAsia" w:cstheme="majorBidi"/>
      <w:b/>
      <w:bCs/>
      <w:sz w:val="28"/>
      <w:szCs w:val="26"/>
    </w:rPr>
  </w:style>
  <w:style w:type="paragraph" w:styleId="Heading3">
    <w:name w:val="heading 3"/>
    <w:basedOn w:val="Normal"/>
    <w:next w:val="NormalText"/>
    <w:link w:val="Heading3Char"/>
    <w:uiPriority w:val="9"/>
    <w:unhideWhenUsed/>
    <w:qFormat/>
    <w:rsid w:val="00AF50E4"/>
    <w:pPr>
      <w:keepNext/>
      <w:keepLines/>
      <w:outlineLvl w:val="2"/>
    </w:pPr>
    <w:rPr>
      <w:rFonts w:eastAsiaTheme="majorEastAsia" w:cstheme="majorBidi"/>
      <w:bCs/>
      <w:sz w:val="24"/>
      <w:u w:val="single"/>
    </w:rPr>
  </w:style>
  <w:style w:type="paragraph" w:styleId="Heading4">
    <w:name w:val="heading 4"/>
    <w:basedOn w:val="Normal"/>
    <w:next w:val="NormalText"/>
    <w:link w:val="Heading4Char"/>
    <w:uiPriority w:val="9"/>
    <w:unhideWhenUsed/>
    <w:qFormat/>
    <w:rsid w:val="00AF50E4"/>
    <w:pPr>
      <w:keepNext/>
      <w:keepLines/>
      <w:spacing w:before="360"/>
      <w:outlineLvl w:val="3"/>
    </w:pPr>
    <w:rPr>
      <w:rFonts w:eastAsiaTheme="majorEastAsia" w:cstheme="majorBidi"/>
      <w:bCs/>
      <w:iCs/>
      <w:sz w:val="24"/>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AF50E4"/>
    <w:pPr>
      <w:spacing w:after="12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AF50E4"/>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F50E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F50E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AF50E4"/>
    <w:rPr>
      <w:rFonts w:ascii="Arial" w:eastAsiaTheme="majorEastAsia" w:hAnsi="Arial" w:cstheme="majorBidi"/>
      <w:bCs/>
      <w:sz w:val="24"/>
      <w:u w:val="single"/>
    </w:rPr>
  </w:style>
  <w:style w:type="character" w:customStyle="1" w:styleId="Heading4Char">
    <w:name w:val="Heading 4 Char"/>
    <w:basedOn w:val="DefaultParagraphFont"/>
    <w:link w:val="Heading4"/>
    <w:uiPriority w:val="9"/>
    <w:rsid w:val="00AF50E4"/>
    <w:rPr>
      <w:rFonts w:ascii="Arial" w:eastAsiaTheme="majorEastAsia" w:hAnsi="Arial" w:cstheme="majorBidi"/>
      <w:bCs/>
      <w:iCs/>
      <w:sz w:val="24"/>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AF50E4"/>
    <w:pPr>
      <w:spacing w:line="240" w:lineRule="auto"/>
      <w:jc w:val="left"/>
    </w:pPr>
    <w:rPr>
      <w:rFonts w:ascii="Times New Roman" w:hAnsi="Times New Roman" w:cs="Times New Roman"/>
      <w:sz w:val="24"/>
      <w:szCs w:val="24"/>
      <w:lang w:eastAsia="en-GB"/>
    </w:rPr>
  </w:style>
  <w:style w:type="paragraph" w:customStyle="1" w:styleId="Default">
    <w:name w:val="Default"/>
    <w:rsid w:val="00AF50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21</TotalTime>
  <Pages>6</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2019-03-10T23:10:00Z</dcterms:created>
  <dcterms:modified xsi:type="dcterms:W3CDTF">2019-03-10T23:31:00Z</dcterms:modified>
</cp:coreProperties>
</file>